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A36F" w14:textId="71E04B55" w:rsidR="0008336D" w:rsidRPr="00163DAB" w:rsidRDefault="0008336D" w:rsidP="00455127">
      <w:pPr>
        <w:pStyle w:val="NormalWeb"/>
        <w:spacing w:before="0" w:beforeAutospacing="0" w:after="0" w:afterAutospacing="0" w:line="480" w:lineRule="auto"/>
        <w:jc w:val="center"/>
        <w:rPr>
          <w:b/>
          <w:bCs/>
        </w:rPr>
      </w:pPr>
      <w:r w:rsidRPr="00163DAB">
        <w:rPr>
          <w:b/>
          <w:bCs/>
        </w:rPr>
        <w:t>P</w:t>
      </w:r>
      <w:r w:rsidR="00163DAB">
        <w:rPr>
          <w:b/>
          <w:bCs/>
        </w:rPr>
        <w:t>roject No. 54</w:t>
      </w:r>
      <w:r w:rsidR="00C11B43">
        <w:rPr>
          <w:b/>
          <w:bCs/>
        </w:rPr>
        <w:t>33</w:t>
      </w:r>
      <w:r w:rsidR="00163DAB">
        <w:rPr>
          <w:b/>
          <w:bCs/>
        </w:rPr>
        <w:t>5</w:t>
      </w:r>
    </w:p>
    <w:p w14:paraId="6AD440DF" w14:textId="77777777" w:rsidR="00335240" w:rsidRPr="00163DAB" w:rsidRDefault="00335240" w:rsidP="00455127">
      <w:pPr>
        <w:pStyle w:val="NormalWeb"/>
        <w:spacing w:before="0" w:beforeAutospacing="0" w:after="0" w:afterAutospacing="0" w:line="480" w:lineRule="auto"/>
        <w:jc w:val="center"/>
        <w:rPr>
          <w:b/>
          <w:bCs/>
        </w:rPr>
      </w:pPr>
    </w:p>
    <w:p w14:paraId="55DC3BB9" w14:textId="315D7EBF" w:rsidR="00CA7CBD" w:rsidRPr="00163DAB" w:rsidRDefault="00CA7CBD" w:rsidP="00455127">
      <w:pPr>
        <w:pStyle w:val="NormalWeb"/>
        <w:spacing w:before="0" w:beforeAutospacing="0" w:after="0" w:afterAutospacing="0" w:line="480" w:lineRule="auto"/>
        <w:jc w:val="center"/>
        <w:rPr>
          <w:b/>
          <w:bCs/>
        </w:rPr>
        <w:sectPr w:rsidR="00CA7CBD" w:rsidRPr="00163DAB" w:rsidSect="00071194">
          <w:headerReference w:type="default" r:id="rId11"/>
          <w:footerReference w:type="default" r:id="rId12"/>
          <w:pgSz w:w="12240" w:h="15840"/>
          <w:pgMar w:top="1440" w:right="1440" w:bottom="1440" w:left="1440" w:header="720" w:footer="720" w:gutter="0"/>
          <w:cols w:space="720"/>
          <w:titlePg/>
          <w:docGrid w:linePitch="360"/>
        </w:sectPr>
      </w:pPr>
    </w:p>
    <w:p w14:paraId="18B83382" w14:textId="6D9CC655" w:rsidR="00BB562E" w:rsidRPr="00163DAB" w:rsidRDefault="00B903E1" w:rsidP="00455127">
      <w:pPr>
        <w:pStyle w:val="NormalWeb"/>
        <w:spacing w:before="0" w:beforeAutospacing="0" w:after="0" w:afterAutospacing="0" w:line="480" w:lineRule="auto"/>
        <w:jc w:val="center"/>
        <w:rPr>
          <w:b/>
          <w:bCs/>
        </w:rPr>
      </w:pPr>
      <w:r w:rsidRPr="00163DAB">
        <w:rPr>
          <w:b/>
          <w:bCs/>
        </w:rPr>
        <w:t xml:space="preserve">Review of Market Reform Assessment Produced by Energy and </w:t>
      </w:r>
      <w:r w:rsidR="00335240" w:rsidRPr="00163DAB">
        <w:rPr>
          <w:b/>
          <w:bCs/>
        </w:rPr>
        <w:t>Environmental Economics, Inc.</w:t>
      </w:r>
    </w:p>
    <w:p w14:paraId="15C07D8E" w14:textId="6A3D07E0" w:rsidR="0008336D" w:rsidRPr="00163DAB" w:rsidRDefault="00163DAB" w:rsidP="00455127">
      <w:pPr>
        <w:pStyle w:val="NormalWeb"/>
        <w:spacing w:before="0" w:beforeAutospacing="0" w:after="0" w:afterAutospacing="0" w:line="480" w:lineRule="auto"/>
        <w:jc w:val="center"/>
        <w:rPr>
          <w:b/>
          <w:bCs/>
        </w:rPr>
      </w:pPr>
      <w:r>
        <w:rPr>
          <w:b/>
          <w:bCs/>
        </w:rPr>
        <w:t>Public Utility Commission of Texas</w:t>
      </w:r>
    </w:p>
    <w:p w14:paraId="60C7F3C1" w14:textId="77777777" w:rsidR="00BB562E" w:rsidRPr="00163DAB" w:rsidRDefault="00BB562E" w:rsidP="00455127">
      <w:pPr>
        <w:pStyle w:val="NormalWeb"/>
        <w:spacing w:before="0" w:beforeAutospacing="0" w:after="0" w:afterAutospacing="0" w:line="480" w:lineRule="auto"/>
        <w:jc w:val="center"/>
        <w:rPr>
          <w:b/>
          <w:bCs/>
        </w:rPr>
        <w:sectPr w:rsidR="00BB562E" w:rsidRPr="00163DAB" w:rsidSect="00BB562E">
          <w:footerReference w:type="default" r:id="rId13"/>
          <w:type w:val="continuous"/>
          <w:pgSz w:w="12240" w:h="15840"/>
          <w:pgMar w:top="1440" w:right="1440" w:bottom="1440" w:left="1440" w:header="720" w:footer="720" w:gutter="0"/>
          <w:cols w:num="2" w:space="720"/>
          <w:docGrid w:linePitch="360"/>
        </w:sectPr>
      </w:pPr>
    </w:p>
    <w:p w14:paraId="205A9B1D" w14:textId="77777777" w:rsidR="00F213EF" w:rsidRPr="00163DAB" w:rsidRDefault="00F213EF" w:rsidP="00607188">
      <w:pPr>
        <w:pStyle w:val="NormalWeb"/>
        <w:spacing w:before="0" w:beforeAutospacing="0" w:after="0" w:afterAutospacing="0" w:line="480" w:lineRule="auto"/>
        <w:rPr>
          <w:i/>
          <w:iCs/>
        </w:rPr>
      </w:pPr>
    </w:p>
    <w:p w14:paraId="602A2BA0" w14:textId="37239492" w:rsidR="00071194" w:rsidRPr="00607188" w:rsidRDefault="004E0109" w:rsidP="00607188">
      <w:pPr>
        <w:pStyle w:val="NormalWeb"/>
        <w:spacing w:before="0" w:beforeAutospacing="0" w:after="0" w:afterAutospacing="0" w:line="480" w:lineRule="auto"/>
        <w:jc w:val="center"/>
        <w:rPr>
          <w:b/>
          <w:bCs/>
          <w:u w:val="single"/>
        </w:rPr>
      </w:pPr>
      <w:r w:rsidRPr="00163DAB">
        <w:rPr>
          <w:b/>
          <w:bCs/>
          <w:u w:val="single"/>
        </w:rPr>
        <w:t>Comments of Pine Gate Renewables, LLC</w:t>
      </w:r>
    </w:p>
    <w:p w14:paraId="2CB211E0" w14:textId="42640E0B" w:rsidR="004E0109" w:rsidRPr="00163DAB" w:rsidRDefault="00DA17A7" w:rsidP="00455127">
      <w:pPr>
        <w:pStyle w:val="NormalWeb"/>
        <w:spacing w:before="0" w:beforeAutospacing="0" w:after="0" w:afterAutospacing="0" w:line="480" w:lineRule="auto"/>
        <w:jc w:val="center"/>
      </w:pPr>
      <w:r w:rsidRPr="00163DAB">
        <w:t>December 15, 2022</w:t>
      </w:r>
    </w:p>
    <w:p w14:paraId="29628E36" w14:textId="77777777" w:rsidR="00CE0980" w:rsidRDefault="00CE0980" w:rsidP="00362A8F">
      <w:pPr>
        <w:pStyle w:val="NormalWeb"/>
        <w:spacing w:before="0" w:beforeAutospacing="0" w:after="0" w:afterAutospacing="0" w:line="480" w:lineRule="auto"/>
        <w:jc w:val="both"/>
        <w:rPr>
          <w:i/>
          <w:iCs/>
        </w:rPr>
      </w:pPr>
    </w:p>
    <w:p w14:paraId="3C6D5694" w14:textId="6A168BCF" w:rsidR="00CE0980" w:rsidRDefault="00CE0980" w:rsidP="009B522B">
      <w:pPr>
        <w:pStyle w:val="NormalWeb"/>
        <w:spacing w:before="0" w:beforeAutospacing="0" w:after="0" w:afterAutospacing="0" w:line="480" w:lineRule="auto"/>
        <w:ind w:firstLine="360"/>
        <w:jc w:val="both"/>
      </w:pPr>
      <w:r>
        <w:t xml:space="preserve">Pine Gate Renewables, LLC (Pine Gate) respectfully submits these comments in </w:t>
      </w:r>
      <w:r w:rsidR="00467063">
        <w:t xml:space="preserve">the above captioned proceeding in </w:t>
      </w:r>
      <w:r>
        <w:t xml:space="preserve">response to Public Utility Commission of Texas (Commission) </w:t>
      </w:r>
      <w:r w:rsidR="00CB6339">
        <w:t xml:space="preserve">staff’s </w:t>
      </w:r>
      <w:r w:rsidR="007D1B26">
        <w:t xml:space="preserve">November 10, </w:t>
      </w:r>
      <w:r w:rsidR="1E1C71B6">
        <w:t>2022,</w:t>
      </w:r>
      <w:r w:rsidR="007D1B26">
        <w:t xml:space="preserve"> </w:t>
      </w:r>
      <w:r>
        <w:t xml:space="preserve">request for </w:t>
      </w:r>
      <w:r w:rsidR="00CB6339">
        <w:t xml:space="preserve">feedback </w:t>
      </w:r>
      <w:r w:rsidR="00D44E71">
        <w:t>on the report prepared by Energy and Environmental Economics, Inc.</w:t>
      </w:r>
      <w:r w:rsidR="007D1B26">
        <w:t xml:space="preserve"> (E3).</w:t>
      </w:r>
      <w:r w:rsidR="0030529C" w:rsidRPr="00A51473">
        <w:rPr>
          <w:rStyle w:val="FootnoteReference"/>
        </w:rPr>
        <w:footnoteReference w:id="2"/>
      </w:r>
      <w:r w:rsidR="007D1B26">
        <w:t xml:space="preserve"> </w:t>
      </w:r>
      <w:r w:rsidR="00B0554B">
        <w:t xml:space="preserve">Pine Gate </w:t>
      </w:r>
      <w:r w:rsidR="008745B4">
        <w:t xml:space="preserve">is </w:t>
      </w:r>
      <w:bookmarkStart w:id="0" w:name="_Int_6FyTqvl1"/>
      <w:r w:rsidR="008745B4">
        <w:t>generally supportive</w:t>
      </w:r>
      <w:bookmarkEnd w:id="0"/>
      <w:r w:rsidR="008745B4">
        <w:t xml:space="preserve"> of the Commission’s efforts to improve </w:t>
      </w:r>
      <w:r w:rsidR="4E7841DF">
        <w:t>reliability</w:t>
      </w:r>
      <w:r w:rsidR="008745B4">
        <w:t xml:space="preserve"> but believes that </w:t>
      </w:r>
      <w:r w:rsidR="002E0709">
        <w:t xml:space="preserve">the Commission should </w:t>
      </w:r>
      <w:r w:rsidR="00025ED3">
        <w:t xml:space="preserve">take a </w:t>
      </w:r>
      <w:r w:rsidR="001864E3">
        <w:t xml:space="preserve">more </w:t>
      </w:r>
      <w:r w:rsidR="00025ED3">
        <w:t>targeted approach</w:t>
      </w:r>
      <w:r w:rsidR="001864E3">
        <w:t xml:space="preserve"> that begins with clearly defining the reliability problem and </w:t>
      </w:r>
      <w:r w:rsidR="00FF2CAF">
        <w:t xml:space="preserve">adopting a reliability standard that would address </w:t>
      </w:r>
      <w:r w:rsidR="00523762">
        <w:t>this problem</w:t>
      </w:r>
      <w:r w:rsidR="00025ED3">
        <w:t xml:space="preserve">. </w:t>
      </w:r>
    </w:p>
    <w:p w14:paraId="783DFF7B" w14:textId="04A222B0" w:rsidR="00D61FB9" w:rsidRDefault="00D61FB9" w:rsidP="00362A8F">
      <w:pPr>
        <w:pStyle w:val="NormalWeb"/>
        <w:numPr>
          <w:ilvl w:val="0"/>
          <w:numId w:val="7"/>
        </w:numPr>
        <w:spacing w:before="0" w:beforeAutospacing="0" w:after="0" w:afterAutospacing="0" w:line="480" w:lineRule="auto"/>
        <w:jc w:val="both"/>
        <w:rPr>
          <w:b/>
          <w:bCs/>
        </w:rPr>
      </w:pPr>
      <w:r>
        <w:rPr>
          <w:b/>
          <w:bCs/>
        </w:rPr>
        <w:t xml:space="preserve">Introduction </w:t>
      </w:r>
    </w:p>
    <w:p w14:paraId="50462EB1" w14:textId="2D410404" w:rsidR="00183235" w:rsidRPr="001E2BDD" w:rsidRDefault="7A4FE364" w:rsidP="00362A8F">
      <w:pPr>
        <w:pStyle w:val="NormalWeb"/>
        <w:spacing w:before="0" w:beforeAutospacing="0" w:after="0" w:afterAutospacing="0" w:line="480" w:lineRule="auto"/>
        <w:ind w:firstLine="360"/>
        <w:jc w:val="both"/>
        <w:rPr>
          <w:color w:val="000000"/>
          <w:shd w:val="clear" w:color="auto" w:fill="FFFFFF"/>
        </w:rPr>
      </w:pPr>
      <w:r>
        <w:rPr>
          <w:rStyle w:val="normaltextrun"/>
          <w:color w:val="000000"/>
          <w:shd w:val="clear" w:color="auto" w:fill="FFFFFF"/>
        </w:rPr>
        <w:t xml:space="preserve">Pine Gate originates, develops, finances, and operates utility-scale solar and energy storage projects that generate clean renewable power. </w:t>
      </w:r>
      <w:r w:rsidR="00975F9E">
        <w:rPr>
          <w:rStyle w:val="normaltextrun"/>
          <w:color w:val="000000"/>
          <w:shd w:val="clear" w:color="auto" w:fill="FFFFFF"/>
        </w:rPr>
        <w:t>With five large solar and hybrid projects in the</w:t>
      </w:r>
      <w:r w:rsidR="00975F9E" w:rsidRPr="6BAF4E6E">
        <w:rPr>
          <w:rStyle w:val="normaltextrun"/>
          <w:color w:val="000000" w:themeColor="text1"/>
        </w:rPr>
        <w:t xml:space="preserve"> Electric Reliability Council of Texas</w:t>
      </w:r>
      <w:r w:rsidR="00975F9E">
        <w:rPr>
          <w:rStyle w:val="normaltextrun"/>
          <w:color w:val="000000"/>
          <w:shd w:val="clear" w:color="auto" w:fill="FFFFFF"/>
        </w:rPr>
        <w:t xml:space="preserve"> </w:t>
      </w:r>
      <w:r w:rsidR="00975F9E" w:rsidRPr="6BAF4E6E">
        <w:rPr>
          <w:rStyle w:val="normaltextrun"/>
          <w:color w:val="000000" w:themeColor="text1"/>
        </w:rPr>
        <w:t>(</w:t>
      </w:r>
      <w:r w:rsidR="00975F9E">
        <w:rPr>
          <w:rStyle w:val="normaltextrun"/>
          <w:color w:val="000000"/>
          <w:shd w:val="clear" w:color="auto" w:fill="FFFFFF"/>
        </w:rPr>
        <w:t>ERCOT</w:t>
      </w:r>
      <w:r w:rsidR="00975F9E" w:rsidRPr="6BAF4E6E">
        <w:rPr>
          <w:rStyle w:val="normaltextrun"/>
          <w:color w:val="000000" w:themeColor="text1"/>
        </w:rPr>
        <w:t>)</w:t>
      </w:r>
      <w:r w:rsidR="00975F9E">
        <w:rPr>
          <w:rStyle w:val="normaltextrun"/>
          <w:color w:val="000000"/>
          <w:shd w:val="clear" w:color="auto" w:fill="FFFFFF"/>
        </w:rPr>
        <w:t xml:space="preserve"> queue totaling 830 MW, 1,600 MW of pending acquisition opportunity, and 3,000 MW sited and currently under review, Pine Gate has a large and growing portfolio of Texas projects.</w:t>
      </w:r>
      <w:r w:rsidR="00975F9E" w:rsidRPr="57D228EB">
        <w:rPr>
          <w:rStyle w:val="normaltextrun"/>
          <w:color w:val="000000" w:themeColor="text1"/>
        </w:rPr>
        <w:t xml:space="preserve">  </w:t>
      </w:r>
      <w:r>
        <w:rPr>
          <w:rStyle w:val="normaltextrun"/>
          <w:color w:val="000000"/>
          <w:shd w:val="clear" w:color="auto" w:fill="FFFFFF"/>
        </w:rPr>
        <w:t xml:space="preserve">Pine Gate </w:t>
      </w:r>
      <w:r w:rsidR="00975F9E" w:rsidRPr="57D228EB">
        <w:rPr>
          <w:rStyle w:val="normaltextrun"/>
          <w:color w:val="000000" w:themeColor="text1"/>
        </w:rPr>
        <w:t xml:space="preserve">also </w:t>
      </w:r>
      <w:r>
        <w:rPr>
          <w:rStyle w:val="normaltextrun"/>
          <w:color w:val="000000"/>
          <w:shd w:val="clear" w:color="auto" w:fill="FFFFFF"/>
        </w:rPr>
        <w:t xml:space="preserve">works with energy buyers, corporations, utilities, local communities, and capital partners to develop and operate these projects across the country. </w:t>
      </w:r>
      <w:r w:rsidR="00340B8C" w:rsidRPr="57D228EB">
        <w:rPr>
          <w:rStyle w:val="normaltextrun"/>
          <w:color w:val="000000" w:themeColor="text1"/>
        </w:rPr>
        <w:t xml:space="preserve">Nationwide, </w:t>
      </w:r>
      <w:r>
        <w:rPr>
          <w:rStyle w:val="normaltextrun"/>
          <w:color w:val="000000"/>
          <w:shd w:val="clear" w:color="auto" w:fill="FFFFFF"/>
        </w:rPr>
        <w:t xml:space="preserve">Pine Gate currently has </w:t>
      </w:r>
      <w:bookmarkStart w:id="1" w:name="_Int_gmPuf8i2"/>
      <w:r w:rsidR="5E9DAF39">
        <w:rPr>
          <w:rStyle w:val="normaltextrun"/>
          <w:color w:val="000000"/>
          <w:shd w:val="clear" w:color="auto" w:fill="FFFFFF"/>
        </w:rPr>
        <w:t>1,200</w:t>
      </w:r>
      <w:bookmarkEnd w:id="1"/>
      <w:r>
        <w:rPr>
          <w:rStyle w:val="normaltextrun"/>
          <w:color w:val="000000"/>
          <w:shd w:val="clear" w:color="auto" w:fill="FFFFFF"/>
        </w:rPr>
        <w:t xml:space="preserve"> megawatts (MW) of operational assets, over 900 MW in construction, and another 20 gigawatts (GW) in active development. </w:t>
      </w:r>
      <w:r w:rsidR="29D1E341" w:rsidDel="00975F9E">
        <w:rPr>
          <w:rStyle w:val="normaltextrun"/>
          <w:color w:val="000000"/>
          <w:shd w:val="clear" w:color="auto" w:fill="FFFFFF"/>
        </w:rPr>
        <w:t>W</w:t>
      </w:r>
      <w:r w:rsidR="46D83429" w:rsidDel="00975F9E">
        <w:rPr>
          <w:rStyle w:val="normaltextrun"/>
          <w:color w:val="000000"/>
          <w:shd w:val="clear" w:color="auto" w:fill="FFFFFF"/>
        </w:rPr>
        <w:t>ith five large solar and hybrid projects in the</w:t>
      </w:r>
      <w:r w:rsidR="00100233">
        <w:rPr>
          <w:rStyle w:val="normaltextrun"/>
          <w:color w:val="000000" w:themeColor="text1"/>
        </w:rPr>
        <w:t xml:space="preserve"> </w:t>
      </w:r>
      <w:r w:rsidR="35E6DE51" w:rsidDel="00975F9E">
        <w:rPr>
          <w:rStyle w:val="normaltextrun"/>
          <w:color w:val="000000"/>
          <w:shd w:val="clear" w:color="auto" w:fill="FFFFFF"/>
        </w:rPr>
        <w:t>ERCOT</w:t>
      </w:r>
      <w:r w:rsidR="46D83429" w:rsidDel="00975F9E">
        <w:rPr>
          <w:rStyle w:val="normaltextrun"/>
          <w:color w:val="000000"/>
          <w:shd w:val="clear" w:color="auto" w:fill="FFFFFF"/>
        </w:rPr>
        <w:t xml:space="preserve"> queue totaling 830 MW, </w:t>
      </w:r>
      <w:r w:rsidR="0564699A" w:rsidDel="00975F9E">
        <w:rPr>
          <w:rStyle w:val="normaltextrun"/>
          <w:color w:val="000000"/>
          <w:shd w:val="clear" w:color="auto" w:fill="FFFFFF"/>
        </w:rPr>
        <w:t>1</w:t>
      </w:r>
      <w:r w:rsidR="5E61CDF3" w:rsidDel="00975F9E">
        <w:rPr>
          <w:rStyle w:val="normaltextrun"/>
          <w:color w:val="000000"/>
          <w:shd w:val="clear" w:color="auto" w:fill="FFFFFF"/>
        </w:rPr>
        <w:t>,</w:t>
      </w:r>
      <w:r w:rsidR="0564699A" w:rsidDel="00975F9E">
        <w:rPr>
          <w:rStyle w:val="normaltextrun"/>
          <w:color w:val="000000"/>
          <w:shd w:val="clear" w:color="auto" w:fill="FFFFFF"/>
        </w:rPr>
        <w:t xml:space="preserve">600 </w:t>
      </w:r>
      <w:r w:rsidR="638F3A1A" w:rsidDel="00975F9E">
        <w:rPr>
          <w:rStyle w:val="normaltextrun"/>
          <w:color w:val="000000"/>
          <w:shd w:val="clear" w:color="auto" w:fill="FFFFFF"/>
        </w:rPr>
        <w:t xml:space="preserve">MW </w:t>
      </w:r>
      <w:r w:rsidR="2BA891FC" w:rsidDel="00975F9E">
        <w:rPr>
          <w:rStyle w:val="normaltextrun"/>
          <w:color w:val="000000"/>
          <w:shd w:val="clear" w:color="auto" w:fill="FFFFFF"/>
        </w:rPr>
        <w:t>of pending acquisition opportunity, and 3,000 MW</w:t>
      </w:r>
      <w:r w:rsidR="05077914" w:rsidDel="00975F9E">
        <w:rPr>
          <w:rStyle w:val="normaltextrun"/>
          <w:color w:val="000000"/>
          <w:shd w:val="clear" w:color="auto" w:fill="FFFFFF"/>
        </w:rPr>
        <w:t xml:space="preserve"> sited and currently</w:t>
      </w:r>
      <w:r w:rsidR="2BA891FC" w:rsidDel="00975F9E">
        <w:rPr>
          <w:rStyle w:val="normaltextrun"/>
          <w:color w:val="000000"/>
          <w:shd w:val="clear" w:color="auto" w:fill="FFFFFF"/>
        </w:rPr>
        <w:t xml:space="preserve"> under review</w:t>
      </w:r>
      <w:r w:rsidR="0971DF95" w:rsidDel="00975F9E">
        <w:rPr>
          <w:rStyle w:val="normaltextrun"/>
          <w:color w:val="000000"/>
          <w:shd w:val="clear" w:color="auto" w:fill="FFFFFF"/>
        </w:rPr>
        <w:t>, Pine Gate has a large and growing portfolio of Texas projects.</w:t>
      </w:r>
      <w:r w:rsidR="638F3A1A" w:rsidDel="00975F9E">
        <w:rPr>
          <w:rStyle w:val="normaltextrun"/>
          <w:color w:val="000000"/>
          <w:shd w:val="clear" w:color="auto" w:fill="FFFFFF"/>
        </w:rPr>
        <w:t xml:space="preserve"> </w:t>
      </w:r>
      <w:r>
        <w:rPr>
          <w:rStyle w:val="normaltextrun"/>
          <w:color w:val="000000"/>
          <w:shd w:val="clear" w:color="auto" w:fill="FFFFFF"/>
        </w:rPr>
        <w:t>Pine Gate is active in both the Independent System Operator/Regional Transmission Organization (ISO/RTO) markets and non-ISO/RTO markets.</w:t>
      </w:r>
    </w:p>
    <w:p w14:paraId="447E1638" w14:textId="77777777" w:rsidR="00EF4A86" w:rsidRDefault="00CE0980" w:rsidP="00362A8F">
      <w:pPr>
        <w:pStyle w:val="NormalWeb"/>
        <w:numPr>
          <w:ilvl w:val="0"/>
          <w:numId w:val="7"/>
        </w:numPr>
        <w:spacing w:before="0" w:beforeAutospacing="0" w:after="0" w:afterAutospacing="0" w:line="480" w:lineRule="auto"/>
        <w:jc w:val="both"/>
        <w:rPr>
          <w:b/>
          <w:bCs/>
        </w:rPr>
      </w:pPr>
      <w:r w:rsidRPr="00822650">
        <w:rPr>
          <w:b/>
          <w:bCs/>
        </w:rPr>
        <w:t>Executive Summary</w:t>
      </w:r>
    </w:p>
    <w:p w14:paraId="499F4681" w14:textId="3267AAD8" w:rsidR="00CE0980" w:rsidRPr="008628C0" w:rsidRDefault="008628C0" w:rsidP="00A5417A">
      <w:pPr>
        <w:pStyle w:val="NormalWeb"/>
        <w:spacing w:before="0" w:beforeAutospacing="0" w:after="0" w:afterAutospacing="0" w:line="480" w:lineRule="auto"/>
        <w:ind w:firstLine="360"/>
        <w:jc w:val="both"/>
      </w:pPr>
      <w:r>
        <w:t xml:space="preserve">Pine Gate </w:t>
      </w:r>
      <w:r w:rsidR="00466DF0">
        <w:t xml:space="preserve">agrees with the Commission that ERCOT </w:t>
      </w:r>
      <w:r w:rsidR="00662C55">
        <w:t xml:space="preserve">has a reliability </w:t>
      </w:r>
      <w:r w:rsidR="005C2415">
        <w:t>problem</w:t>
      </w:r>
      <w:r w:rsidR="00B03A20">
        <w:t xml:space="preserve">. </w:t>
      </w:r>
      <w:r w:rsidR="00B51F58">
        <w:t xml:space="preserve">Recent assessments </w:t>
      </w:r>
      <w:r w:rsidR="00386544">
        <w:t xml:space="preserve">by ERCOT and independent third parties </w:t>
      </w:r>
      <w:r w:rsidR="00B51F58">
        <w:t xml:space="preserve">have revealed that </w:t>
      </w:r>
      <w:r w:rsidR="00386544">
        <w:t xml:space="preserve">the ERCOT grid </w:t>
      </w:r>
      <w:r w:rsidR="00B51F58">
        <w:t>faces operational</w:t>
      </w:r>
      <w:r w:rsidR="007E4447">
        <w:t xml:space="preserve"> challenges </w:t>
      </w:r>
      <w:r w:rsidR="001E3899">
        <w:t xml:space="preserve">such as </w:t>
      </w:r>
      <w:r w:rsidR="00B7020C">
        <w:t xml:space="preserve">changes in demand, increased variable renewable generation, and unexpected thermal generation outages. </w:t>
      </w:r>
      <w:r w:rsidR="0069108B">
        <w:t>Yet, d</w:t>
      </w:r>
      <w:r w:rsidR="00DD1BA9">
        <w:t xml:space="preserve">espite these reliability concerns, </w:t>
      </w:r>
      <w:r w:rsidR="0069108B">
        <w:t xml:space="preserve">Pine Gate maintains that the </w:t>
      </w:r>
      <w:r w:rsidR="00DD1BA9">
        <w:t xml:space="preserve">ERCOT market </w:t>
      </w:r>
      <w:r w:rsidR="0069108B">
        <w:t xml:space="preserve">overall </w:t>
      </w:r>
      <w:r w:rsidR="00DD1BA9">
        <w:t xml:space="preserve">remains a robust source of </w:t>
      </w:r>
      <w:r w:rsidR="00ED3348">
        <w:t xml:space="preserve">affordable power and </w:t>
      </w:r>
      <w:r w:rsidR="00B62340">
        <w:t xml:space="preserve">an attractive place to invest. Any market design that the Commission adopts should </w:t>
      </w:r>
      <w:r w:rsidR="00A5417A">
        <w:t xml:space="preserve">be carefully calibrated towards solving specific reliability issues </w:t>
      </w:r>
      <w:r w:rsidR="00320724">
        <w:t>while avoiding unnecessary disruptions to the market.</w:t>
      </w:r>
      <w:r w:rsidR="00D37A2B">
        <w:t xml:space="preserve"> </w:t>
      </w:r>
      <w:r w:rsidR="00356A85">
        <w:t xml:space="preserve">This process should begin by carefully identifying </w:t>
      </w:r>
      <w:r w:rsidR="008C3897">
        <w:t xml:space="preserve">the reliability </w:t>
      </w:r>
      <w:r w:rsidR="00F42AEE">
        <w:t xml:space="preserve">problem </w:t>
      </w:r>
      <w:r w:rsidR="008C3897">
        <w:t>that needs to be</w:t>
      </w:r>
      <w:r w:rsidR="00F42AEE">
        <w:t xml:space="preserve"> solved, as </w:t>
      </w:r>
      <w:r w:rsidR="00561B07">
        <w:t>was required by Senate Bill 3 (SB3)</w:t>
      </w:r>
      <w:r w:rsidR="008C3897">
        <w:t>.</w:t>
      </w:r>
    </w:p>
    <w:p w14:paraId="72676C69" w14:textId="0CF6A726" w:rsidR="00320724" w:rsidRDefault="00456333" w:rsidP="005C2415">
      <w:pPr>
        <w:pStyle w:val="NormalWeb"/>
        <w:spacing w:before="0" w:beforeAutospacing="0" w:after="0" w:afterAutospacing="0" w:line="480" w:lineRule="auto"/>
        <w:ind w:firstLine="360"/>
        <w:jc w:val="both"/>
      </w:pPr>
      <w:r>
        <w:t>T</w:t>
      </w:r>
      <w:r w:rsidR="00B03A20">
        <w:t xml:space="preserve">he </w:t>
      </w:r>
      <w:r w:rsidR="00DD7A7D">
        <w:t xml:space="preserve">Commission </w:t>
      </w:r>
      <w:r w:rsidR="00561B07">
        <w:t xml:space="preserve">has not yet </w:t>
      </w:r>
      <w:r w:rsidR="004D3935">
        <w:t>taken this important first step</w:t>
      </w:r>
      <w:r w:rsidR="00FE3863">
        <w:t xml:space="preserve">. The E3 Report does not define the nature of the reliability problem </w:t>
      </w:r>
      <w:r w:rsidR="00CC07A6">
        <w:t xml:space="preserve">but nonetheless concludes that more </w:t>
      </w:r>
      <w:r w:rsidR="00594836">
        <w:t xml:space="preserve">money for new thermal generation is necessary to solve it. Notably, the E3 Report takes for granted that the same generation </w:t>
      </w:r>
      <w:r w:rsidR="00923DE9">
        <w:t xml:space="preserve">capacity that failed during Winter Storm Uri would perform </w:t>
      </w:r>
      <w:r w:rsidR="00572059">
        <w:t xml:space="preserve">perfectly in future </w:t>
      </w:r>
      <w:r w:rsidR="00120017">
        <w:t xml:space="preserve">extreme weather. </w:t>
      </w:r>
      <w:r w:rsidR="00445A1E">
        <w:t>Given these assumptions, it is not surprising that E3</w:t>
      </w:r>
      <w:r w:rsidR="002E0BD7">
        <w:t xml:space="preserve"> </w:t>
      </w:r>
      <w:r w:rsidR="001B30CB">
        <w:t xml:space="preserve">only considered </w:t>
      </w:r>
      <w:r w:rsidR="000256D4">
        <w:t xml:space="preserve">a limited number of </w:t>
      </w:r>
      <w:r w:rsidR="001B30CB">
        <w:t xml:space="preserve">market designs </w:t>
      </w:r>
      <w:r w:rsidR="0036690C">
        <w:t xml:space="preserve">that mimic the capacity markets </w:t>
      </w:r>
      <w:r w:rsidR="00AE3745">
        <w:t xml:space="preserve">or bilateral capacity arrangements </w:t>
      </w:r>
      <w:r w:rsidR="00B247C1">
        <w:t xml:space="preserve">prevalent in the Northeast and California. </w:t>
      </w:r>
      <w:r w:rsidR="004942E6">
        <w:t xml:space="preserve">At the same time, E3 ignores recent experience from these other markets who are seeking to address the same operational challenges through </w:t>
      </w:r>
      <w:r w:rsidR="00EC0241">
        <w:t xml:space="preserve">different means. </w:t>
      </w:r>
      <w:r w:rsidR="00210F41">
        <w:t xml:space="preserve">Pine Gate </w:t>
      </w:r>
      <w:r w:rsidR="00EC0241">
        <w:t xml:space="preserve">therefore urges </w:t>
      </w:r>
      <w:r w:rsidR="00210F41">
        <w:t>t</w:t>
      </w:r>
      <w:r w:rsidR="00320724">
        <w:t xml:space="preserve">he Commission </w:t>
      </w:r>
      <w:r w:rsidR="00EC0241">
        <w:t xml:space="preserve">to </w:t>
      </w:r>
      <w:r w:rsidR="008677A7">
        <w:t xml:space="preserve">consider alternative market designs that are </w:t>
      </w:r>
      <w:r w:rsidR="00FB4F80">
        <w:t>specifically aimed at solving operational challenges rather than building more new capacity</w:t>
      </w:r>
      <w:r w:rsidR="00DB051C">
        <w:t xml:space="preserve">. </w:t>
      </w:r>
    </w:p>
    <w:p w14:paraId="691BEA94" w14:textId="77777777" w:rsidR="00FB348E" w:rsidRPr="00822650" w:rsidRDefault="00FB348E" w:rsidP="00362A8F">
      <w:pPr>
        <w:pStyle w:val="NormalWeb"/>
        <w:spacing w:before="0" w:beforeAutospacing="0" w:after="0" w:afterAutospacing="0" w:line="480" w:lineRule="auto"/>
        <w:ind w:left="1080"/>
        <w:jc w:val="both"/>
        <w:rPr>
          <w:b/>
          <w:bCs/>
        </w:rPr>
      </w:pPr>
    </w:p>
    <w:p w14:paraId="179B7C6C" w14:textId="4BAA6F23" w:rsidR="004E0109" w:rsidRDefault="00DA661B" w:rsidP="00362A8F">
      <w:pPr>
        <w:pStyle w:val="NormalWeb"/>
        <w:numPr>
          <w:ilvl w:val="0"/>
          <w:numId w:val="7"/>
        </w:numPr>
        <w:spacing w:before="0" w:beforeAutospacing="0" w:after="0" w:afterAutospacing="0" w:line="480" w:lineRule="auto"/>
        <w:jc w:val="both"/>
        <w:rPr>
          <w:b/>
          <w:bCs/>
        </w:rPr>
      </w:pPr>
      <w:r w:rsidRPr="00822650">
        <w:rPr>
          <w:b/>
          <w:bCs/>
        </w:rPr>
        <w:t xml:space="preserve">Comments </w:t>
      </w:r>
    </w:p>
    <w:p w14:paraId="2582846E" w14:textId="12F242C7" w:rsidR="00891FB6" w:rsidRPr="0051069B" w:rsidRDefault="0051069B" w:rsidP="00362A8F">
      <w:pPr>
        <w:pStyle w:val="NormalWeb"/>
        <w:spacing w:before="0" w:beforeAutospacing="0" w:after="0" w:afterAutospacing="0" w:line="480" w:lineRule="auto"/>
        <w:ind w:firstLine="360"/>
        <w:jc w:val="both"/>
      </w:pPr>
      <w:r w:rsidRPr="00822650">
        <w:t>Pine</w:t>
      </w:r>
      <w:r>
        <w:t xml:space="preserve"> Gate submits these high-level comments </w:t>
      </w:r>
      <w:r w:rsidR="003837CC">
        <w:t>in addition to detailed response</w:t>
      </w:r>
      <w:r w:rsidR="00DC5539">
        <w:t>s</w:t>
      </w:r>
      <w:r w:rsidR="003837CC">
        <w:t xml:space="preserve"> to Commission staff’s questions in the following section.</w:t>
      </w:r>
      <w:r w:rsidR="00E3278A">
        <w:t xml:space="preserve"> </w:t>
      </w:r>
      <w:r w:rsidR="007363AB">
        <w:t xml:space="preserve">Before adopting any market design, Pine Gate urges the Commission to </w:t>
      </w:r>
      <w:r w:rsidR="00A5567B">
        <w:t xml:space="preserve">clearly </w:t>
      </w:r>
      <w:r w:rsidR="006900CE">
        <w:t xml:space="preserve">identify </w:t>
      </w:r>
      <w:r w:rsidR="00A5567B">
        <w:t xml:space="preserve">the problem that it </w:t>
      </w:r>
      <w:r w:rsidR="4DB9225A">
        <w:t xml:space="preserve">seeks </w:t>
      </w:r>
      <w:r w:rsidR="00A5567B">
        <w:t xml:space="preserve">to </w:t>
      </w:r>
      <w:r w:rsidR="00320367">
        <w:t>re</w:t>
      </w:r>
      <w:r w:rsidR="00A5567B">
        <w:t xml:space="preserve">solve. This exercise should begin by identifying </w:t>
      </w:r>
      <w:r w:rsidR="006900CE">
        <w:t xml:space="preserve">the hours of </w:t>
      </w:r>
      <w:r w:rsidR="00DC45BD">
        <w:t xml:space="preserve">highest reliability risk </w:t>
      </w:r>
      <w:r w:rsidR="00D5787C">
        <w:t xml:space="preserve">to better understand the causes of </w:t>
      </w:r>
      <w:r w:rsidR="008B6E1D">
        <w:t>ERCOT’s reliability</w:t>
      </w:r>
      <w:r w:rsidR="00D5787C">
        <w:t xml:space="preserve"> </w:t>
      </w:r>
      <w:r w:rsidR="008A43B4">
        <w:t>problems</w:t>
      </w:r>
      <w:r w:rsidR="005F31DE">
        <w:t>.</w:t>
      </w:r>
      <w:r w:rsidR="00CE3F52">
        <w:t xml:space="preserve"> </w:t>
      </w:r>
      <w:r w:rsidR="005111D6">
        <w:t xml:space="preserve">The Commission </w:t>
      </w:r>
      <w:r w:rsidR="004D4A3A">
        <w:t>sh</w:t>
      </w:r>
      <w:r w:rsidR="005111D6">
        <w:t xml:space="preserve">ould use this analysis to adopt an appropriate reliability standard and compare different market designs </w:t>
      </w:r>
      <w:r w:rsidR="1AD5814F">
        <w:t xml:space="preserve">for achieving </w:t>
      </w:r>
      <w:r w:rsidR="005111D6">
        <w:t xml:space="preserve">it. </w:t>
      </w:r>
      <w:r w:rsidR="57266194">
        <w:t xml:space="preserve">Specifically, </w:t>
      </w:r>
      <w:r w:rsidR="001864E3">
        <w:t xml:space="preserve">the Commission should evaluate the </w:t>
      </w:r>
      <w:r w:rsidR="00103565">
        <w:t>Performance Credit Mechanism</w:t>
      </w:r>
      <w:r w:rsidR="00A116A5">
        <w:t xml:space="preserve"> </w:t>
      </w:r>
      <w:r w:rsidR="00103565">
        <w:t>(</w:t>
      </w:r>
      <w:r w:rsidR="001864E3">
        <w:t>PCM</w:t>
      </w:r>
      <w:r w:rsidR="00103565">
        <w:t>)</w:t>
      </w:r>
      <w:r w:rsidR="001864E3">
        <w:t xml:space="preserve"> against other market designs that E3 did not consider</w:t>
      </w:r>
      <w:r w:rsidR="001050E5">
        <w:t>,</w:t>
      </w:r>
      <w:r w:rsidR="001864E3">
        <w:t xml:space="preserve"> including the </w:t>
      </w:r>
      <w:r w:rsidR="00522DDE">
        <w:t>Independent Market Monitor’s (</w:t>
      </w:r>
      <w:r w:rsidR="00A116A5">
        <w:t>IMM</w:t>
      </w:r>
      <w:r w:rsidR="00B933D5">
        <w:t>)</w:t>
      </w:r>
      <w:r w:rsidR="001864E3">
        <w:t xml:space="preserve"> recommendation to create a new reserve product</w:t>
      </w:r>
      <w:r w:rsidR="00284C22">
        <w:t xml:space="preserve"> such as the one proposed by the </w:t>
      </w:r>
      <w:r w:rsidR="008B6E1D">
        <w:t>DRRS Coalition,</w:t>
      </w:r>
      <w:r w:rsidR="001864E3">
        <w:t xml:space="preserve"> and the Dispatchable Energy Credit (DEC) mechanism</w:t>
      </w:r>
      <w:r w:rsidR="009440C3">
        <w:t xml:space="preserve"> originally proposed by Commissioner McAdams</w:t>
      </w:r>
      <w:r w:rsidR="001864E3">
        <w:t xml:space="preserve">. </w:t>
      </w:r>
      <w:r w:rsidR="007B6C77">
        <w:t xml:space="preserve">In the meantime, reforms </w:t>
      </w:r>
      <w:r w:rsidR="49514DF3">
        <w:t>that</w:t>
      </w:r>
      <w:r w:rsidR="007B6C77">
        <w:t xml:space="preserve"> </w:t>
      </w:r>
      <w:r w:rsidR="005428B5">
        <w:t xml:space="preserve">the Commission </w:t>
      </w:r>
      <w:r w:rsidR="7201A710">
        <w:t xml:space="preserve">has </w:t>
      </w:r>
      <w:r w:rsidR="005428B5">
        <w:t>already adopted</w:t>
      </w:r>
      <w:r w:rsidR="62F1D84B">
        <w:t>,</w:t>
      </w:r>
      <w:r w:rsidR="005428B5">
        <w:t xml:space="preserve"> such as weatherization and changes to the operating reserve demand curve (ORDC</w:t>
      </w:r>
      <w:r w:rsidR="566D1DDB">
        <w:t>)</w:t>
      </w:r>
      <w:r w:rsidR="7C0A89EA">
        <w:t>,</w:t>
      </w:r>
      <w:r w:rsidR="005428B5">
        <w:t xml:space="preserve"> </w:t>
      </w:r>
      <w:r w:rsidR="007B6C77">
        <w:t xml:space="preserve">should be given time to work. </w:t>
      </w:r>
    </w:p>
    <w:p w14:paraId="6F3FAD9F" w14:textId="1B48EEE2" w:rsidR="00AD3BB6" w:rsidRPr="00E95E4F" w:rsidRDefault="00532D51" w:rsidP="00362A8F">
      <w:pPr>
        <w:pStyle w:val="NormalWeb"/>
        <w:numPr>
          <w:ilvl w:val="0"/>
          <w:numId w:val="10"/>
        </w:numPr>
        <w:spacing w:before="0" w:beforeAutospacing="0" w:after="0" w:afterAutospacing="0" w:line="480" w:lineRule="auto"/>
        <w:jc w:val="both"/>
        <w:rPr>
          <w:b/>
          <w:bCs/>
        </w:rPr>
      </w:pPr>
      <w:r w:rsidRPr="3D13C8A6">
        <w:rPr>
          <w:b/>
          <w:bCs/>
        </w:rPr>
        <w:t xml:space="preserve">The </w:t>
      </w:r>
      <w:r w:rsidR="000B6F38" w:rsidRPr="3D13C8A6">
        <w:rPr>
          <w:b/>
          <w:bCs/>
        </w:rPr>
        <w:t xml:space="preserve">E3 Report fails to </w:t>
      </w:r>
      <w:bookmarkStart w:id="2" w:name="_Int_qZi864Iu"/>
      <w:r w:rsidR="000B6F38" w:rsidRPr="3D13C8A6">
        <w:rPr>
          <w:b/>
          <w:bCs/>
        </w:rPr>
        <w:t>adequately define</w:t>
      </w:r>
      <w:bookmarkEnd w:id="2"/>
      <w:r w:rsidR="000B6F38" w:rsidRPr="3D13C8A6">
        <w:rPr>
          <w:b/>
          <w:bCs/>
        </w:rPr>
        <w:t xml:space="preserve"> the nature of </w:t>
      </w:r>
      <w:r w:rsidR="00D3144F" w:rsidRPr="3D13C8A6">
        <w:rPr>
          <w:b/>
          <w:bCs/>
        </w:rPr>
        <w:t>ERCOT’s</w:t>
      </w:r>
      <w:r w:rsidR="000B6F38" w:rsidRPr="3D13C8A6">
        <w:rPr>
          <w:b/>
          <w:bCs/>
        </w:rPr>
        <w:t xml:space="preserve"> reliability </w:t>
      </w:r>
      <w:r w:rsidR="00346560">
        <w:rPr>
          <w:b/>
          <w:bCs/>
        </w:rPr>
        <w:t>problem</w:t>
      </w:r>
      <w:r w:rsidR="00A939DD">
        <w:rPr>
          <w:b/>
          <w:bCs/>
        </w:rPr>
        <w:t xml:space="preserve"> as required by S</w:t>
      </w:r>
      <w:r w:rsidR="005C2415">
        <w:rPr>
          <w:b/>
          <w:bCs/>
        </w:rPr>
        <w:t>B</w:t>
      </w:r>
      <w:r w:rsidR="00A939DD">
        <w:rPr>
          <w:b/>
          <w:bCs/>
        </w:rPr>
        <w:t>3</w:t>
      </w:r>
      <w:r w:rsidR="000B6F38" w:rsidRPr="3D13C8A6">
        <w:rPr>
          <w:b/>
          <w:bCs/>
        </w:rPr>
        <w:t xml:space="preserve">. </w:t>
      </w:r>
    </w:p>
    <w:p w14:paraId="0CF788F6" w14:textId="1A7D75AD" w:rsidR="002C40D8" w:rsidRDefault="0076209E" w:rsidP="00362A8F">
      <w:pPr>
        <w:pStyle w:val="NormalWeb"/>
        <w:spacing w:before="0" w:beforeAutospacing="0" w:after="0" w:afterAutospacing="0" w:line="480" w:lineRule="auto"/>
        <w:ind w:firstLine="360"/>
        <w:jc w:val="both"/>
      </w:pPr>
      <w:r>
        <w:t xml:space="preserve">Pine Gate </w:t>
      </w:r>
      <w:bookmarkStart w:id="3" w:name="_Int_TiGqTzFh"/>
      <w:r>
        <w:t>generally agrees</w:t>
      </w:r>
      <w:bookmarkEnd w:id="3"/>
      <w:r>
        <w:t xml:space="preserve"> </w:t>
      </w:r>
      <w:r w:rsidR="00FD0C8F">
        <w:t xml:space="preserve">with the Commission </w:t>
      </w:r>
      <w:r w:rsidR="00A939DD">
        <w:t xml:space="preserve">and </w:t>
      </w:r>
      <w:r w:rsidR="00D17725">
        <w:t xml:space="preserve">SB3 </w:t>
      </w:r>
      <w:r w:rsidR="009846B5">
        <w:t xml:space="preserve">that </w:t>
      </w:r>
      <w:r w:rsidR="00AD074A">
        <w:t xml:space="preserve">ERCOT </w:t>
      </w:r>
      <w:r w:rsidR="007D6867">
        <w:t xml:space="preserve">has a </w:t>
      </w:r>
      <w:r w:rsidR="00EE6D66">
        <w:t>reliability</w:t>
      </w:r>
      <w:r w:rsidR="007D6867">
        <w:t xml:space="preserve"> problem</w:t>
      </w:r>
      <w:r w:rsidR="00FD0C8F">
        <w:t xml:space="preserve"> that needs to be addressed</w:t>
      </w:r>
      <w:r w:rsidR="00EE6D66">
        <w:t>.</w:t>
      </w:r>
      <w:r w:rsidR="00FC6443">
        <w:t xml:space="preserve"> </w:t>
      </w:r>
      <w:r w:rsidR="009474BB">
        <w:t xml:space="preserve">This </w:t>
      </w:r>
      <w:r w:rsidR="00B31159">
        <w:t xml:space="preserve">past summer, ERCOT </w:t>
      </w:r>
      <w:r w:rsidR="00157FF1">
        <w:t xml:space="preserve">repeatedly </w:t>
      </w:r>
      <w:r w:rsidR="00252B62">
        <w:t xml:space="preserve">came close to </w:t>
      </w:r>
      <w:r w:rsidR="00154A9B">
        <w:t>experiencing outages and</w:t>
      </w:r>
      <w:r w:rsidR="00252B62">
        <w:t>, a</w:t>
      </w:r>
      <w:r w:rsidR="00FD4E52">
        <w:t>s recently as November 26, 2022</w:t>
      </w:r>
      <w:r w:rsidR="00154A9B">
        <w:t>,</w:t>
      </w:r>
      <w:r w:rsidR="00FD4E52">
        <w:t xml:space="preserve"> </w:t>
      </w:r>
      <w:r w:rsidR="00122804">
        <w:t xml:space="preserve">experienced </w:t>
      </w:r>
      <w:r w:rsidR="00154A9B">
        <w:t xml:space="preserve">tight </w:t>
      </w:r>
      <w:r w:rsidR="002900C9">
        <w:t xml:space="preserve">operating </w:t>
      </w:r>
      <w:r w:rsidR="00154A9B">
        <w:t>conditions.</w:t>
      </w:r>
      <w:r w:rsidR="00154A9B">
        <w:rPr>
          <w:rStyle w:val="FootnoteReference"/>
        </w:rPr>
        <w:footnoteReference w:id="3"/>
      </w:r>
      <w:r w:rsidR="00154A9B">
        <w:t xml:space="preserve"> </w:t>
      </w:r>
      <w:r w:rsidR="002900C9">
        <w:t xml:space="preserve">The </w:t>
      </w:r>
      <w:r w:rsidR="00B933D5">
        <w:t>NERC’s</w:t>
      </w:r>
      <w:r w:rsidR="00486611">
        <w:t xml:space="preserve"> </w:t>
      </w:r>
      <w:r w:rsidR="002900C9">
        <w:t xml:space="preserve">2022-2023 </w:t>
      </w:r>
      <w:r w:rsidR="00B933D5">
        <w:t>WRA</w:t>
      </w:r>
      <w:r w:rsidR="002900C9">
        <w:t xml:space="preserve"> </w:t>
      </w:r>
      <w:r w:rsidR="00486611">
        <w:t xml:space="preserve">recently </w:t>
      </w:r>
      <w:r w:rsidR="001705A1">
        <w:t>warned that under</w:t>
      </w:r>
      <w:r w:rsidR="002900C9">
        <w:t xml:space="preserve"> </w:t>
      </w:r>
      <w:r w:rsidR="344E85BE">
        <w:t>above</w:t>
      </w:r>
      <w:r w:rsidR="271A9B8C">
        <w:t>-</w:t>
      </w:r>
      <w:r w:rsidR="344E85BE">
        <w:t>average</w:t>
      </w:r>
      <w:r w:rsidR="002900C9">
        <w:t xml:space="preserve"> peak load and/or outage conditions, ERCOT would need to turn to operating mitigations to meet load requirements.</w:t>
      </w:r>
      <w:r w:rsidR="002900C9" w:rsidRPr="4A7B76B9">
        <w:rPr>
          <w:rStyle w:val="FootnoteReference"/>
        </w:rPr>
        <w:footnoteReference w:id="4"/>
      </w:r>
      <w:r w:rsidR="002900C9">
        <w:t xml:space="preserve"> </w:t>
      </w:r>
      <w:r w:rsidR="00451C4F">
        <w:t xml:space="preserve">In its own </w:t>
      </w:r>
      <w:r w:rsidR="00B933D5">
        <w:t>SARA</w:t>
      </w:r>
      <w:r w:rsidR="00451C4F">
        <w:t>, ERCOT found that another extreme weather event comparable to Winter Storm Uri could lead to a 12,900 MW shortfall in generating capacity.</w:t>
      </w:r>
      <w:r w:rsidR="00451C4F" w:rsidRPr="4A7B76B9">
        <w:rPr>
          <w:rStyle w:val="FootnoteReference"/>
        </w:rPr>
        <w:footnoteReference w:id="5"/>
      </w:r>
      <w:r w:rsidR="00451C4F">
        <w:t xml:space="preserve"> </w:t>
      </w:r>
      <w:r w:rsidR="00C7517A">
        <w:t xml:space="preserve"> </w:t>
      </w:r>
      <w:r w:rsidR="005C0BF7">
        <w:t xml:space="preserve">Multiple </w:t>
      </w:r>
      <w:r w:rsidR="006C2BF2">
        <w:t xml:space="preserve">short-term and long-term </w:t>
      </w:r>
      <w:r w:rsidR="00F320E8">
        <w:t xml:space="preserve">factors </w:t>
      </w:r>
      <w:r w:rsidR="006E4514">
        <w:t xml:space="preserve">contribute </w:t>
      </w:r>
      <w:r w:rsidR="00F71A04">
        <w:t>to the dim outlook for reliability in Texas</w:t>
      </w:r>
      <w:r w:rsidR="00F14DDB">
        <w:t>,</w:t>
      </w:r>
      <w:r w:rsidR="00BD5E77">
        <w:t xml:space="preserve"> </w:t>
      </w:r>
      <w:r w:rsidR="00AC7067">
        <w:t xml:space="preserve">including </w:t>
      </w:r>
      <w:r w:rsidR="003834A8">
        <w:t xml:space="preserve">planned and forced outages, fuel supply disruptions, </w:t>
      </w:r>
      <w:r w:rsidR="00540575">
        <w:t xml:space="preserve">demand volatility, </w:t>
      </w:r>
      <w:r w:rsidR="005D614C">
        <w:t xml:space="preserve">extreme </w:t>
      </w:r>
      <w:r w:rsidR="00193104">
        <w:t xml:space="preserve">heat and cold </w:t>
      </w:r>
      <w:r w:rsidR="00A0048A">
        <w:t>events</w:t>
      </w:r>
      <w:r w:rsidR="000A68D2">
        <w:t xml:space="preserve">, generator retirements, </w:t>
      </w:r>
      <w:r w:rsidR="00911EE9">
        <w:t>and in</w:t>
      </w:r>
      <w:r w:rsidR="002C40D8">
        <w:t xml:space="preserve">sufficient ramp capability. </w:t>
      </w:r>
    </w:p>
    <w:p w14:paraId="158C2B41" w14:textId="42BBB310" w:rsidR="006F28C3" w:rsidRDefault="00DD27E6" w:rsidP="00362A8F">
      <w:pPr>
        <w:pStyle w:val="NormalWeb"/>
        <w:spacing w:before="0" w:beforeAutospacing="0" w:after="0" w:afterAutospacing="0" w:line="480" w:lineRule="auto"/>
        <w:ind w:firstLine="360"/>
        <w:jc w:val="both"/>
      </w:pPr>
      <w:r>
        <w:t xml:space="preserve">Given </w:t>
      </w:r>
      <w:r w:rsidR="0033268E">
        <w:t xml:space="preserve">the myriad sources of </w:t>
      </w:r>
      <w:r w:rsidR="00CE2568">
        <w:t xml:space="preserve">potential </w:t>
      </w:r>
      <w:r w:rsidR="008E1C76">
        <w:t xml:space="preserve">operational and planning challenges </w:t>
      </w:r>
      <w:r w:rsidR="001651DD">
        <w:t xml:space="preserve">that ERCOT faces, </w:t>
      </w:r>
      <w:r w:rsidR="00A91B39">
        <w:t xml:space="preserve">the Commission </w:t>
      </w:r>
      <w:r w:rsidR="0049733E">
        <w:t xml:space="preserve">must </w:t>
      </w:r>
      <w:r w:rsidR="00790095">
        <w:t xml:space="preserve">clearly define </w:t>
      </w:r>
      <w:r w:rsidR="009F5C81">
        <w:t>the</w:t>
      </w:r>
      <w:r>
        <w:t xml:space="preserve"> reliability</w:t>
      </w:r>
      <w:r w:rsidR="009F5C81">
        <w:t xml:space="preserve"> </w:t>
      </w:r>
      <w:r w:rsidR="00025AAB">
        <w:t xml:space="preserve">problem it seeks </w:t>
      </w:r>
      <w:r w:rsidR="00E25DDC">
        <w:t xml:space="preserve">to address before crafting a </w:t>
      </w:r>
      <w:r w:rsidR="00367B05">
        <w:t xml:space="preserve">solution. </w:t>
      </w:r>
      <w:r w:rsidR="003D127D">
        <w:t>Otherwise</w:t>
      </w:r>
      <w:r w:rsidR="00B109C9">
        <w:t>,</w:t>
      </w:r>
      <w:r w:rsidR="003E7E3D">
        <w:t xml:space="preserve"> </w:t>
      </w:r>
      <w:r w:rsidR="003D127D">
        <w:t xml:space="preserve">the Commission risks implementing a costly market design that causes unnecessary disruptions and leaves Texans no less vulnerable to prolonged outages from Winter Storm Uri-type events. </w:t>
      </w:r>
      <w:r w:rsidR="001934FB">
        <w:t xml:space="preserve">This is not merely a matter of adopting a reliability standard or metric. </w:t>
      </w:r>
      <w:r w:rsidR="003D127D">
        <w:t xml:space="preserve">Reliability </w:t>
      </w:r>
      <w:r w:rsidR="00E42B3B">
        <w:t xml:space="preserve">targets are useful </w:t>
      </w:r>
      <w:r w:rsidR="003D127D">
        <w:t xml:space="preserve">tools to </w:t>
      </w:r>
      <w:r w:rsidR="00E42B3B">
        <w:t xml:space="preserve">help assess </w:t>
      </w:r>
      <w:r w:rsidR="003D127D">
        <w:t xml:space="preserve">the effectiveness of a </w:t>
      </w:r>
      <w:r w:rsidR="00903584">
        <w:t xml:space="preserve">given </w:t>
      </w:r>
      <w:r w:rsidR="00756E05">
        <w:t xml:space="preserve">policy </w:t>
      </w:r>
      <w:r w:rsidR="005A447F">
        <w:t xml:space="preserve">or plan in solving a particular problem. </w:t>
      </w:r>
      <w:r w:rsidR="00C00B9D">
        <w:t>For example</w:t>
      </w:r>
      <w:r w:rsidR="00EE7F03">
        <w:t xml:space="preserve">, </w:t>
      </w:r>
      <w:r w:rsidR="00450C10">
        <w:t xml:space="preserve">if the Commission concluded that </w:t>
      </w:r>
      <w:r w:rsidR="00647C75">
        <w:t xml:space="preserve">ERCOT faced a capacity shortfall due to increasing generator retirements, it might adopt </w:t>
      </w:r>
      <w:r w:rsidR="0096490E">
        <w:t xml:space="preserve">a Loss of Load Expectation (LOLE) </w:t>
      </w:r>
      <w:r w:rsidR="0041610E">
        <w:t>target</w:t>
      </w:r>
      <w:r w:rsidR="00B61BDA">
        <w:t xml:space="preserve"> </w:t>
      </w:r>
      <w:r w:rsidR="00D4386B">
        <w:t>like the industry standard 1-day-in-10-year</w:t>
      </w:r>
      <w:r w:rsidR="008C71FD">
        <w:t>s</w:t>
      </w:r>
      <w:r w:rsidR="00EC3DF0">
        <w:t xml:space="preserve"> </w:t>
      </w:r>
      <w:r w:rsidR="001D14AC">
        <w:t>(0.1</w:t>
      </w:r>
      <w:r w:rsidR="003A1F03">
        <w:t xml:space="preserve"> days per year) </w:t>
      </w:r>
      <w:r w:rsidR="00EC3DF0">
        <w:t>that measures the frequency of outages in days</w:t>
      </w:r>
      <w:r w:rsidR="00F46791">
        <w:t>.</w:t>
      </w:r>
      <w:r w:rsidR="00D7601F">
        <w:t xml:space="preserve"> </w:t>
      </w:r>
      <w:r w:rsidR="004B5EE1">
        <w:t xml:space="preserve">On the other hand, if the Commission concluded that ERCOT faced </w:t>
      </w:r>
      <w:r w:rsidR="00361E85">
        <w:t xml:space="preserve">a risk of </w:t>
      </w:r>
      <w:r w:rsidR="00302B8B">
        <w:t xml:space="preserve">prolonged </w:t>
      </w:r>
      <w:r w:rsidR="00F76F3F">
        <w:t xml:space="preserve">outages due to </w:t>
      </w:r>
      <w:r w:rsidR="00887DBC">
        <w:t xml:space="preserve">fuel supply disruptions, it </w:t>
      </w:r>
      <w:r w:rsidR="00BC2A22">
        <w:t>might adopt a</w:t>
      </w:r>
      <w:r w:rsidR="00BC5184">
        <w:t xml:space="preserve">n Expected Unserved </w:t>
      </w:r>
      <w:r w:rsidR="00EC3DF0">
        <w:t>Energy (EUE)</w:t>
      </w:r>
      <w:r w:rsidR="00767677">
        <w:t xml:space="preserve"> </w:t>
      </w:r>
      <w:r w:rsidR="00B13388">
        <w:t>target</w:t>
      </w:r>
      <w:r w:rsidR="00901C05">
        <w:t xml:space="preserve"> that measures the duration </w:t>
      </w:r>
      <w:r w:rsidR="00D45260">
        <w:t xml:space="preserve">of outages </w:t>
      </w:r>
      <w:r w:rsidR="00551E47">
        <w:t>in addition to their frequenc</w:t>
      </w:r>
      <w:r w:rsidR="00B516C2">
        <w:t>y</w:t>
      </w:r>
      <w:r w:rsidR="00551E47">
        <w:t xml:space="preserve">. </w:t>
      </w:r>
      <w:r w:rsidR="0031013D">
        <w:t xml:space="preserve">But neither metric </w:t>
      </w:r>
      <w:r w:rsidR="67B70D97">
        <w:t xml:space="preserve">by itself </w:t>
      </w:r>
      <w:r w:rsidR="00D66F56">
        <w:t>would enable</w:t>
      </w:r>
      <w:r w:rsidR="0031013D">
        <w:t xml:space="preserve"> the Commission </w:t>
      </w:r>
      <w:r w:rsidR="00997901">
        <w:t xml:space="preserve">to </w:t>
      </w:r>
      <w:r w:rsidR="0031013D">
        <w:t xml:space="preserve">define the </w:t>
      </w:r>
      <w:r w:rsidR="5696B04D">
        <w:t xml:space="preserve">specific reliability </w:t>
      </w:r>
      <w:r w:rsidR="0031013D">
        <w:t xml:space="preserve">problem that it </w:t>
      </w:r>
      <w:r w:rsidR="00B40ECF">
        <w:t>needs</w:t>
      </w:r>
      <w:r w:rsidR="0031013D">
        <w:t xml:space="preserve"> </w:t>
      </w:r>
      <w:r w:rsidR="637CC160">
        <w:t xml:space="preserve">to </w:t>
      </w:r>
      <w:r w:rsidR="0031013D">
        <w:t>address</w:t>
      </w:r>
      <w:r w:rsidR="48A31967">
        <w:t xml:space="preserve">; </w:t>
      </w:r>
      <w:r w:rsidR="0A9355A4">
        <w:t xml:space="preserve">they simply measure </w:t>
      </w:r>
      <w:r w:rsidR="24A611D6">
        <w:t>different aspects of reliability</w:t>
      </w:r>
      <w:r w:rsidR="79FDE326">
        <w:t xml:space="preserve">. </w:t>
      </w:r>
    </w:p>
    <w:p w14:paraId="4D84260E" w14:textId="0954D19E" w:rsidR="009B2539" w:rsidRDefault="00917E52" w:rsidP="0028049F">
      <w:pPr>
        <w:pStyle w:val="NormalWeb"/>
        <w:spacing w:before="0" w:beforeAutospacing="0" w:after="0" w:afterAutospacing="0" w:line="480" w:lineRule="auto"/>
        <w:ind w:firstLine="360"/>
        <w:jc w:val="both"/>
      </w:pPr>
      <w:r>
        <w:t xml:space="preserve">Unfortunately, </w:t>
      </w:r>
      <w:r w:rsidR="00691A6A">
        <w:t xml:space="preserve">the E3 </w:t>
      </w:r>
      <w:r w:rsidR="00086DFC">
        <w:t>R</w:t>
      </w:r>
      <w:r w:rsidR="00691A6A">
        <w:t xml:space="preserve">eport did not consider </w:t>
      </w:r>
      <w:r w:rsidR="006A44DA">
        <w:t xml:space="preserve">this important threshold question. Instead E3 </w:t>
      </w:r>
      <w:r w:rsidR="00597EAA">
        <w:t>merely adopted</w:t>
      </w:r>
      <w:r w:rsidR="00073576">
        <w:t xml:space="preserve">, at the direction of the Commission, </w:t>
      </w:r>
      <w:r w:rsidR="004F4928">
        <w:t>a</w:t>
      </w:r>
      <w:r w:rsidR="00C10D39">
        <w:t xml:space="preserve"> LOLE target of </w:t>
      </w:r>
      <w:r w:rsidR="003A1F03">
        <w:t>0.1 days per year</w:t>
      </w:r>
      <w:r w:rsidR="00707256">
        <w:t xml:space="preserve"> </w:t>
      </w:r>
      <w:r w:rsidR="001B51ED">
        <w:t xml:space="preserve">with little discussion about </w:t>
      </w:r>
      <w:r w:rsidR="00902696">
        <w:t xml:space="preserve">how that standard would help resolve the unique reliability challenges </w:t>
      </w:r>
      <w:r w:rsidR="0095684C">
        <w:t>that ERCOT faces</w:t>
      </w:r>
      <w:r w:rsidR="008918E3">
        <w:t xml:space="preserve">. </w:t>
      </w:r>
      <w:r w:rsidR="0472F608">
        <w:t xml:space="preserve">But </w:t>
      </w:r>
      <w:r w:rsidR="009B2539">
        <w:t xml:space="preserve">E3’s own </w:t>
      </w:r>
      <w:r w:rsidR="001441FF">
        <w:t xml:space="preserve">assessment of the status quo </w:t>
      </w:r>
      <w:r w:rsidR="001C4BE9">
        <w:t xml:space="preserve">demonstrates </w:t>
      </w:r>
      <w:r w:rsidR="001441FF">
        <w:t xml:space="preserve">that </w:t>
      </w:r>
      <w:r w:rsidR="00A252BA">
        <w:t xml:space="preserve">the LOLE </w:t>
      </w:r>
      <w:r w:rsidR="001441FF">
        <w:t xml:space="preserve">metric </w:t>
      </w:r>
      <w:r w:rsidR="00F80533">
        <w:t xml:space="preserve">is </w:t>
      </w:r>
      <w:r w:rsidR="00F80533" w:rsidRPr="00196C0F">
        <w:rPr>
          <w:i/>
        </w:rPr>
        <w:t xml:space="preserve">not </w:t>
      </w:r>
      <w:r w:rsidR="00F45D9E">
        <w:t>the appropriate target</w:t>
      </w:r>
      <w:r w:rsidR="00FC3C2E">
        <w:t xml:space="preserve">. </w:t>
      </w:r>
      <w:r w:rsidR="00F80533">
        <w:t>According to E3</w:t>
      </w:r>
      <w:r w:rsidR="00F45D9E">
        <w:t>, the energy-only market in Texas in 2022 achieves a</w:t>
      </w:r>
      <w:r w:rsidR="00D41BF3">
        <w:t xml:space="preserve"> </w:t>
      </w:r>
      <w:r w:rsidR="00F45D9E">
        <w:t xml:space="preserve">LOLE </w:t>
      </w:r>
      <w:r w:rsidR="00AF7B05">
        <w:t xml:space="preserve">target of </w:t>
      </w:r>
      <w:r w:rsidR="00DF71C3">
        <w:t>0</w:t>
      </w:r>
      <w:r w:rsidR="00AF7B05">
        <w:t>.03 days per year</w:t>
      </w:r>
      <w:r w:rsidR="00D41BF3">
        <w:t>, remarkably better than the industry standard of 0.1 days per year.</w:t>
      </w:r>
      <w:r w:rsidR="003E7AED">
        <w:rPr>
          <w:rStyle w:val="FootnoteReference"/>
        </w:rPr>
        <w:footnoteReference w:id="6"/>
      </w:r>
      <w:r w:rsidR="00D41BF3">
        <w:t xml:space="preserve"> Yet, as described above, ERCOT operated on the brink of power outages multiple times </w:t>
      </w:r>
      <w:r w:rsidR="00BB04B7">
        <w:t>in 2022</w:t>
      </w:r>
      <w:r w:rsidR="002745F8">
        <w:t>, a situation that the LOLE metric fails to capture</w:t>
      </w:r>
      <w:r w:rsidR="00EE4704">
        <w:t xml:space="preserve">. </w:t>
      </w:r>
      <w:r w:rsidR="00570A32">
        <w:t xml:space="preserve">The Commission cannot expect a market design aimed solely at </w:t>
      </w:r>
      <w:r w:rsidR="00073576">
        <w:t xml:space="preserve">achieving </w:t>
      </w:r>
      <w:r w:rsidR="00570A32">
        <w:t xml:space="preserve">this arbitrarily selected </w:t>
      </w:r>
      <w:r w:rsidR="00AC1410">
        <w:t>metric</w:t>
      </w:r>
      <w:r w:rsidR="00570A32">
        <w:t xml:space="preserve"> </w:t>
      </w:r>
      <w:r w:rsidR="00073576">
        <w:t xml:space="preserve">to improve reliability </w:t>
      </w:r>
      <w:r w:rsidR="00BA27B5">
        <w:t xml:space="preserve">when the </w:t>
      </w:r>
      <w:r w:rsidR="00AC1410">
        <w:t xml:space="preserve">same metric </w:t>
      </w:r>
      <w:r w:rsidR="00890C24">
        <w:t xml:space="preserve">indicates that </w:t>
      </w:r>
      <w:r w:rsidR="00AC1410">
        <w:t xml:space="preserve">there is no reliability problem </w:t>
      </w:r>
      <w:r w:rsidR="00B31443">
        <w:t>to begin with</w:t>
      </w:r>
      <w:r w:rsidR="00FA0FC7">
        <w:t>,</w:t>
      </w:r>
      <w:r w:rsidR="00B31443">
        <w:t xml:space="preserve"> </w:t>
      </w:r>
      <w:r w:rsidR="00890C24">
        <w:t xml:space="preserve">despite evidence to the contrary. </w:t>
      </w:r>
    </w:p>
    <w:p w14:paraId="57071586" w14:textId="4841F2B3" w:rsidR="00EE3153" w:rsidRDefault="009B2539" w:rsidP="0028049F">
      <w:pPr>
        <w:pStyle w:val="NormalWeb"/>
        <w:spacing w:before="0" w:beforeAutospacing="0" w:after="0" w:afterAutospacing="0" w:line="480" w:lineRule="auto"/>
        <w:ind w:firstLine="360"/>
        <w:jc w:val="both"/>
      </w:pPr>
      <w:r>
        <w:t>Most notably,</w:t>
      </w:r>
      <w:r w:rsidR="00691A6A">
        <w:t xml:space="preserve"> </w:t>
      </w:r>
      <w:r>
        <w:t xml:space="preserve">E3 did not consider </w:t>
      </w:r>
      <w:r w:rsidR="005551B1">
        <w:t xml:space="preserve">how </w:t>
      </w:r>
      <w:r w:rsidR="005A4ABB">
        <w:t>each market design</w:t>
      </w:r>
      <w:r w:rsidR="005551B1">
        <w:t xml:space="preserve"> would fare during a severe storm like Winter Storm Uri.</w:t>
      </w:r>
      <w:r w:rsidR="00C5665F">
        <w:t xml:space="preserve">  </w:t>
      </w:r>
      <w:r w:rsidR="003D6D7C">
        <w:t xml:space="preserve">During Winter Storm Uri, thermal generation failed </w:t>
      </w:r>
      <w:r w:rsidR="002848A7">
        <w:t>at several times the rate of renewables.</w:t>
      </w:r>
      <w:r w:rsidR="00606F44">
        <w:rPr>
          <w:rStyle w:val="FootnoteReference"/>
        </w:rPr>
        <w:footnoteReference w:id="7"/>
      </w:r>
      <w:r w:rsidR="002848A7">
        <w:t xml:space="preserve"> For this reason</w:t>
      </w:r>
      <w:r w:rsidR="00522F69">
        <w:t>,</w:t>
      </w:r>
      <w:r w:rsidR="00BD12AF">
        <w:t xml:space="preserve"> </w:t>
      </w:r>
      <w:r w:rsidR="005347C8">
        <w:t xml:space="preserve">the Commission wisely adopted weatherization standards and firm fuel requirements for thermal generators aimed at </w:t>
      </w:r>
      <w:r w:rsidR="004F1B20">
        <w:t>increasing performance during cold snaps.</w:t>
      </w:r>
      <w:r w:rsidR="005347C8">
        <w:t xml:space="preserve"> </w:t>
      </w:r>
      <w:r w:rsidR="00A719DD">
        <w:t>The</w:t>
      </w:r>
      <w:r w:rsidR="00C72759">
        <w:t>se policies</w:t>
      </w:r>
      <w:r w:rsidR="00A719DD">
        <w:t xml:space="preserve"> </w:t>
      </w:r>
      <w:r w:rsidR="00286D35">
        <w:t xml:space="preserve">rightly </w:t>
      </w:r>
      <w:r w:rsidR="00A719DD">
        <w:t xml:space="preserve">acknowledge the strong correlation </w:t>
      </w:r>
      <w:r w:rsidR="00A24149">
        <w:t xml:space="preserve">among </w:t>
      </w:r>
      <w:r w:rsidR="00FE4E31">
        <w:t xml:space="preserve">extreme weather </w:t>
      </w:r>
      <w:r w:rsidR="00A24149">
        <w:t xml:space="preserve">events, </w:t>
      </w:r>
      <w:r w:rsidR="00FE4E31">
        <w:t xml:space="preserve">fuel </w:t>
      </w:r>
      <w:r w:rsidR="00A24149">
        <w:t>shortages, and thermal outages</w:t>
      </w:r>
      <w:r w:rsidR="002B3FB2">
        <w:t xml:space="preserve">. The Commission and Texas </w:t>
      </w:r>
      <w:r w:rsidR="00A04597">
        <w:t>L</w:t>
      </w:r>
      <w:r w:rsidR="002B3FB2">
        <w:t>egislature have both</w:t>
      </w:r>
      <w:r w:rsidR="00E146DF">
        <w:t xml:space="preserve"> </w:t>
      </w:r>
      <w:r w:rsidR="00E01E86">
        <w:t>recognize</w:t>
      </w:r>
      <w:r w:rsidR="002B3FB2">
        <w:t>d</w:t>
      </w:r>
      <w:r w:rsidR="00E01E86">
        <w:t xml:space="preserve"> that this is a significant problem in ERCOT that needs to be addressed.</w:t>
      </w:r>
      <w:r w:rsidR="002B41BA">
        <w:t xml:space="preserve"> In contrast</w:t>
      </w:r>
      <w:r w:rsidR="000D302D">
        <w:t xml:space="preserve">, </w:t>
      </w:r>
      <w:r w:rsidR="00434CCF">
        <w:t xml:space="preserve">the E3 </w:t>
      </w:r>
      <w:r w:rsidR="00F04EDD">
        <w:t>R</w:t>
      </w:r>
      <w:r w:rsidR="00434CCF">
        <w:t xml:space="preserve">eport </w:t>
      </w:r>
      <w:r w:rsidR="002B41BA">
        <w:t xml:space="preserve">assumes </w:t>
      </w:r>
      <w:r w:rsidR="006435B0">
        <w:t>“</w:t>
      </w:r>
      <w:r w:rsidR="00724750">
        <w:t>unlimited access to fuel when needed,</w:t>
      </w:r>
      <w:r w:rsidR="006435B0">
        <w:t>”</w:t>
      </w:r>
      <w:r w:rsidR="002B41BA">
        <w:rPr>
          <w:rStyle w:val="FootnoteReference"/>
        </w:rPr>
        <w:footnoteReference w:id="8"/>
      </w:r>
      <w:r w:rsidR="002B41BA">
        <w:t xml:space="preserve"> an unrealistic assumption that renders E3’s analysis meaningless </w:t>
      </w:r>
      <w:r w:rsidR="00A7177D">
        <w:t xml:space="preserve">for understanding </w:t>
      </w:r>
      <w:r w:rsidR="007302EB">
        <w:t xml:space="preserve">the </w:t>
      </w:r>
      <w:r w:rsidR="1371C644">
        <w:t xml:space="preserve">likelihood of repeating the </w:t>
      </w:r>
      <w:r w:rsidR="007302EB">
        <w:t xml:space="preserve">biggest electric reliability failure in the history of Texas. </w:t>
      </w:r>
      <w:r w:rsidR="002B41BA">
        <w:t xml:space="preserve"> </w:t>
      </w:r>
      <w:r w:rsidR="006435B0">
        <w:t xml:space="preserve">While </w:t>
      </w:r>
      <w:r w:rsidR="00BE176F">
        <w:t>the weatherization standards and other post-Uri reforms</w:t>
      </w:r>
      <w:r w:rsidR="005C0F98">
        <w:t xml:space="preserve">, </w:t>
      </w:r>
      <w:r w:rsidR="001E3F39">
        <w:t>albeit</w:t>
      </w:r>
      <w:r w:rsidR="005C0F98">
        <w:t xml:space="preserve"> untested </w:t>
      </w:r>
      <w:r w:rsidR="00BB2C4B">
        <w:t xml:space="preserve">by abnormally cold winter conditions, </w:t>
      </w:r>
      <w:r w:rsidR="00876D47">
        <w:t>have undoubtedly improved reliability</w:t>
      </w:r>
      <w:r w:rsidR="00B2609D">
        <w:t xml:space="preserve">, they certainly have not </w:t>
      </w:r>
      <w:r w:rsidR="00954DD8">
        <w:t xml:space="preserve">created “unlimited access to fuel when needed.” </w:t>
      </w:r>
      <w:r w:rsidR="003567D7">
        <w:t>But without a precise definition of the reliability problem</w:t>
      </w:r>
      <w:r w:rsidR="003B387A">
        <w:t xml:space="preserve">, it is impossible to assess to what extent these reforms have already solved it. </w:t>
      </w:r>
    </w:p>
    <w:p w14:paraId="140F71C7" w14:textId="6A36DF99" w:rsidR="00714CBD" w:rsidRDefault="00EE3153" w:rsidP="0028049F">
      <w:pPr>
        <w:pStyle w:val="NormalWeb"/>
        <w:spacing w:after="0" w:line="480" w:lineRule="auto"/>
        <w:jc w:val="both"/>
      </w:pPr>
      <w:r>
        <w:tab/>
      </w:r>
      <w:r w:rsidR="00DA7017">
        <w:t xml:space="preserve">Given the lack of attention devoted to identifying the reliability problem in ERCOT, the E3 </w:t>
      </w:r>
      <w:r w:rsidR="00B50359">
        <w:t>R</w:t>
      </w:r>
      <w:r w:rsidR="00DA7017">
        <w:t>eport cannot satisfy the Commission’s statutory obligations under SB3. SB3</w:t>
      </w:r>
      <w:r w:rsidR="00085753">
        <w:t xml:space="preserve"> </w:t>
      </w:r>
      <w:r w:rsidR="00DA7017">
        <w:t xml:space="preserve">directs the Commission </w:t>
      </w:r>
      <w:r w:rsidR="00343B2A">
        <w:t>to ensure that ERCOT (1) determines the quantity and quality of ancillary or reliability services needed and (2) procures those ancillary or reliability services to ensure appropriate reliability during times of low non-dispatchable power production.</w:t>
      </w:r>
      <w:r w:rsidR="00B6030F">
        <w:rPr>
          <w:rStyle w:val="FootnoteReference"/>
        </w:rPr>
        <w:footnoteReference w:id="9"/>
      </w:r>
      <w:r w:rsidR="00343B2A">
        <w:t xml:space="preserve"> </w:t>
      </w:r>
      <w:r w:rsidR="00561F5B">
        <w:t xml:space="preserve"> </w:t>
      </w:r>
      <w:r w:rsidR="00F46EF3">
        <w:t xml:space="preserve">For these reasons, Pine Gate urges the Commission to </w:t>
      </w:r>
      <w:r w:rsidR="005E51F7">
        <w:t xml:space="preserve">conduct further analysis </w:t>
      </w:r>
      <w:r w:rsidR="009D73C2">
        <w:t xml:space="preserve">of </w:t>
      </w:r>
      <w:r w:rsidR="00D60220">
        <w:t xml:space="preserve">the reliability threats </w:t>
      </w:r>
      <w:r w:rsidR="00714CBD">
        <w:t xml:space="preserve">that ERCOT faces as described further below. </w:t>
      </w:r>
    </w:p>
    <w:p w14:paraId="50FA6B39" w14:textId="1B08D79A" w:rsidR="00897913" w:rsidRDefault="00183235" w:rsidP="00362A8F">
      <w:pPr>
        <w:pStyle w:val="NormalWeb"/>
        <w:numPr>
          <w:ilvl w:val="0"/>
          <w:numId w:val="10"/>
        </w:numPr>
        <w:spacing w:before="0" w:beforeAutospacing="0" w:after="0" w:afterAutospacing="0" w:line="480" w:lineRule="auto"/>
        <w:jc w:val="both"/>
        <w:rPr>
          <w:b/>
          <w:bCs/>
        </w:rPr>
      </w:pPr>
      <w:r w:rsidRPr="003F0C25">
        <w:rPr>
          <w:b/>
          <w:bCs/>
        </w:rPr>
        <w:t xml:space="preserve">Recent assessments of ERCOT’s grid </w:t>
      </w:r>
      <w:r w:rsidR="00E02B93">
        <w:rPr>
          <w:b/>
          <w:bCs/>
        </w:rPr>
        <w:t>reveal</w:t>
      </w:r>
      <w:r w:rsidRPr="003F0C25">
        <w:rPr>
          <w:b/>
          <w:bCs/>
        </w:rPr>
        <w:t xml:space="preserve"> </w:t>
      </w:r>
      <w:r w:rsidRPr="00C94CE6">
        <w:rPr>
          <w:b/>
          <w:bCs/>
        </w:rPr>
        <w:t>operational</w:t>
      </w:r>
      <w:r w:rsidRPr="003F0C25">
        <w:rPr>
          <w:b/>
          <w:bCs/>
          <w:i/>
          <w:iCs/>
        </w:rPr>
        <w:t xml:space="preserve"> </w:t>
      </w:r>
      <w:r w:rsidR="00A575BC">
        <w:rPr>
          <w:b/>
          <w:bCs/>
        </w:rPr>
        <w:t>problems</w:t>
      </w:r>
      <w:r w:rsidR="00BD128B">
        <w:rPr>
          <w:b/>
          <w:bCs/>
        </w:rPr>
        <w:t xml:space="preserve"> </w:t>
      </w:r>
      <w:r w:rsidRPr="003F0C25">
        <w:rPr>
          <w:b/>
          <w:bCs/>
        </w:rPr>
        <w:t>rather than resource adequacy ones.</w:t>
      </w:r>
    </w:p>
    <w:p w14:paraId="60989F78" w14:textId="085DF837" w:rsidR="0019700A" w:rsidRDefault="000557F7" w:rsidP="00362A8F">
      <w:pPr>
        <w:pStyle w:val="NormalWeb"/>
        <w:spacing w:before="0" w:beforeAutospacing="0" w:after="0" w:afterAutospacing="0" w:line="480" w:lineRule="auto"/>
        <w:ind w:firstLine="360"/>
        <w:jc w:val="both"/>
      </w:pPr>
      <w:r>
        <w:t xml:space="preserve">As discussed above, </w:t>
      </w:r>
      <w:r w:rsidR="00A575BC">
        <w:t xml:space="preserve">ERCOT faces </w:t>
      </w:r>
      <w:r w:rsidR="7FA6D4C2">
        <w:t>several</w:t>
      </w:r>
      <w:r w:rsidR="00A575BC">
        <w:t xml:space="preserve"> threats to the short- and long-term reliability of </w:t>
      </w:r>
      <w:r w:rsidR="0019700A">
        <w:t xml:space="preserve">the grid. </w:t>
      </w:r>
      <w:r>
        <w:t xml:space="preserve"> </w:t>
      </w:r>
      <w:r w:rsidR="00E64B84">
        <w:t>The</w:t>
      </w:r>
      <w:r>
        <w:t xml:space="preserve"> </w:t>
      </w:r>
      <w:r w:rsidR="00D408EA">
        <w:t xml:space="preserve">Brattle </w:t>
      </w:r>
      <w:r w:rsidR="00E64B84">
        <w:t xml:space="preserve">Group </w:t>
      </w:r>
      <w:r w:rsidR="00D408EA">
        <w:t>recently explained</w:t>
      </w:r>
      <w:r>
        <w:t xml:space="preserve"> that </w:t>
      </w:r>
      <w:r w:rsidR="00D408EA">
        <w:t xml:space="preserve">these </w:t>
      </w:r>
      <w:r w:rsidR="00E64B84">
        <w:t xml:space="preserve">threats can broadly be divided into two categories: </w:t>
      </w:r>
      <w:r w:rsidR="00E64B84" w:rsidRPr="000557F7">
        <w:rPr>
          <w:i/>
          <w:iCs/>
        </w:rPr>
        <w:t>resource adequacy</w:t>
      </w:r>
      <w:r w:rsidR="00E64B84">
        <w:t xml:space="preserve">, which means having enough supply always available to meet demand, and </w:t>
      </w:r>
      <w:r w:rsidR="00E64B84" w:rsidRPr="000557F7">
        <w:rPr>
          <w:i/>
          <w:iCs/>
        </w:rPr>
        <w:t>operational responsiveness</w:t>
      </w:r>
      <w:r w:rsidR="00E64B84">
        <w:t>, which means having the ability to manage changes in supply and demand.</w:t>
      </w:r>
      <w:r w:rsidR="00E64B84">
        <w:rPr>
          <w:rStyle w:val="FootnoteReference"/>
        </w:rPr>
        <w:footnoteReference w:id="10"/>
      </w:r>
      <w:r>
        <w:t xml:space="preserve"> </w:t>
      </w:r>
      <w:r w:rsidR="0033145E">
        <w:t xml:space="preserve"> SB3’s directive to improve reliability could </w:t>
      </w:r>
      <w:r w:rsidR="00626DCD">
        <w:t xml:space="preserve">be interpreted to </w:t>
      </w:r>
      <w:r w:rsidR="0033145E">
        <w:t xml:space="preserve">encompass either category. However, the E3 </w:t>
      </w:r>
      <w:r w:rsidR="00AF3239">
        <w:t xml:space="preserve">Report adopted a reliability target and recommended a market design that primarily focused on improving resource adequacy through the </w:t>
      </w:r>
      <w:r w:rsidR="000C6414">
        <w:t xml:space="preserve">retention and procurement of capacity. </w:t>
      </w:r>
    </w:p>
    <w:p w14:paraId="2990A30D" w14:textId="3D011F9B" w:rsidR="006F3D9A" w:rsidRDefault="0032715E" w:rsidP="00362A8F">
      <w:pPr>
        <w:pStyle w:val="NormalWeb"/>
        <w:spacing w:before="0" w:beforeAutospacing="0" w:after="0" w:afterAutospacing="0" w:line="480" w:lineRule="auto"/>
        <w:ind w:firstLine="360"/>
        <w:jc w:val="both"/>
      </w:pPr>
      <w:r>
        <w:t xml:space="preserve">While ERCOT may need additional capacity </w:t>
      </w:r>
      <w:r w:rsidR="006F090D">
        <w:t xml:space="preserve">in the future, the E3 </w:t>
      </w:r>
      <w:r w:rsidR="00351BE7">
        <w:t>R</w:t>
      </w:r>
      <w:r w:rsidR="006F090D">
        <w:t xml:space="preserve">eport has not demonstrated this need. </w:t>
      </w:r>
      <w:r w:rsidR="00B725A3">
        <w:t xml:space="preserve">In fact, </w:t>
      </w:r>
      <w:r w:rsidR="00E00F81">
        <w:t xml:space="preserve">its assessment of the LOLE in 2022 demonstrates the opposite—ERCOT has more than enough existing capacity to satisfy the </w:t>
      </w:r>
      <w:r w:rsidR="00676042">
        <w:t>one</w:t>
      </w:r>
      <w:r w:rsidR="00AC390D">
        <w:t xml:space="preserve"> day in ten years LOLE standard. When modeling the status quo energy-only market in 2026, however, E3 </w:t>
      </w:r>
      <w:r w:rsidR="008A7F03">
        <w:t>identifies</w:t>
      </w:r>
      <w:r w:rsidR="00AC390D">
        <w:t xml:space="preserve"> a severe capacity </w:t>
      </w:r>
      <w:r w:rsidR="00954ADC">
        <w:t xml:space="preserve">shortfall </w:t>
      </w:r>
      <w:r w:rsidR="00C855F8">
        <w:t>of 11</w:t>
      </w:r>
      <w:r w:rsidR="00D66185">
        <w:t>,560 MW</w:t>
      </w:r>
      <w:r w:rsidR="008D6030">
        <w:t xml:space="preserve"> that results in a substantially worse LOLE of 1.25 days in ten years.</w:t>
      </w:r>
      <w:r w:rsidR="009D1535">
        <w:rPr>
          <w:rStyle w:val="FootnoteReference"/>
        </w:rPr>
        <w:footnoteReference w:id="11"/>
      </w:r>
      <w:r w:rsidR="008D6030">
        <w:t xml:space="preserve"> </w:t>
      </w:r>
      <w:r w:rsidR="00CB58D2">
        <w:t>This capacity shortfall</w:t>
      </w:r>
      <w:r w:rsidR="00C855F8">
        <w:t>—</w:t>
      </w:r>
      <w:r w:rsidR="00CB58D2">
        <w:t xml:space="preserve">representing the retirement of </w:t>
      </w:r>
      <w:r w:rsidR="00C855F8">
        <w:t>nearly 20% of the ERCOT thermal fleet</w:t>
      </w:r>
      <w:r w:rsidR="00CB58D2">
        <w:t xml:space="preserve"> in the next three years—</w:t>
      </w:r>
      <w:r w:rsidR="007F4825">
        <w:t xml:space="preserve">would be alarming </w:t>
      </w:r>
      <w:r w:rsidR="00BB7642">
        <w:t>if it were</w:t>
      </w:r>
      <w:r w:rsidR="00DA654D">
        <w:t xml:space="preserve"> not</w:t>
      </w:r>
      <w:r w:rsidR="00BB7642">
        <w:t xml:space="preserve"> so unbelievable</w:t>
      </w:r>
      <w:r w:rsidR="0079757D">
        <w:t xml:space="preserve">. </w:t>
      </w:r>
      <w:r w:rsidR="004A32F3">
        <w:t xml:space="preserve"> In fact</w:t>
      </w:r>
      <w:r w:rsidR="004111AD">
        <w:t>,</w:t>
      </w:r>
      <w:r w:rsidR="004A32F3">
        <w:t xml:space="preserve"> this </w:t>
      </w:r>
      <w:r w:rsidR="009C53A6">
        <w:t xml:space="preserve">capacity shortfall is an </w:t>
      </w:r>
      <w:r w:rsidR="009C53A6" w:rsidRPr="00B104BC">
        <w:rPr>
          <w:i/>
        </w:rPr>
        <w:t xml:space="preserve">output </w:t>
      </w:r>
      <w:r w:rsidR="009C53A6">
        <w:t>of the model</w:t>
      </w:r>
      <w:r w:rsidR="00B03223">
        <w:t xml:space="preserve">, which </w:t>
      </w:r>
      <w:r w:rsidR="006F3D9A">
        <w:t xml:space="preserve">achieves equilibrium by reducing the </w:t>
      </w:r>
      <w:r w:rsidR="00C729C5">
        <w:t xml:space="preserve">number of thermal resources based on whether they earned a certain amount of revenue (the amount of revenue equal to the cost of building a new </w:t>
      </w:r>
      <w:r w:rsidR="006F3D9A">
        <w:t>gas plant</w:t>
      </w:r>
      <w:r w:rsidR="00C729C5">
        <w:t>)</w:t>
      </w:r>
      <w:r w:rsidR="00942160">
        <w:t xml:space="preserve"> that E3 estimates is $93.5/MWh</w:t>
      </w:r>
      <w:r w:rsidR="006F3D9A">
        <w:t>.</w:t>
      </w:r>
      <w:r w:rsidR="00884A05">
        <w:rPr>
          <w:rStyle w:val="FootnoteReference"/>
        </w:rPr>
        <w:footnoteReference w:id="12"/>
      </w:r>
      <w:r w:rsidR="006F3D9A">
        <w:t xml:space="preserve"> While this may make sense in the context of the model E3 used, it makes for an extremely crude forecast of retirements. Existing thermal generators in the ERCOT market today do not immediately retire when they fail to earn revenues equal to the cost of new entry</w:t>
      </w:r>
      <w:r w:rsidR="0071394A">
        <w:t xml:space="preserve">, despite the fact that </w:t>
      </w:r>
      <w:r w:rsidR="008512AE">
        <w:t>generators frequently earn less than $93.5/MWh.</w:t>
      </w:r>
      <w:r w:rsidR="00D63C88">
        <w:t xml:space="preserve">  On the contrary, </w:t>
      </w:r>
      <w:r w:rsidR="00C73558">
        <w:t xml:space="preserve">there are </w:t>
      </w:r>
      <w:r w:rsidR="6BAACCB8">
        <w:t>three</w:t>
      </w:r>
      <w:r w:rsidR="00C73558">
        <w:t xml:space="preserve"> GW of new gas-fired generation in the ERCOT interconnection queue today</w:t>
      </w:r>
      <w:r w:rsidR="008512AE">
        <w:t xml:space="preserve"> demonstrating that </w:t>
      </w:r>
      <w:r w:rsidR="00325255">
        <w:t>the market can attract new investment even with energy-market revenues below what E3 assumes</w:t>
      </w:r>
      <w:r w:rsidR="00C73558">
        <w:t xml:space="preserve">. </w:t>
      </w:r>
      <w:r w:rsidR="007273BC">
        <w:t xml:space="preserve"> </w:t>
      </w:r>
    </w:p>
    <w:p w14:paraId="03FC98C1" w14:textId="74CAF2C2" w:rsidR="0DB33F74" w:rsidRDefault="00B60678" w:rsidP="00277CA5">
      <w:pPr>
        <w:pStyle w:val="NormalWeb"/>
        <w:spacing w:before="0" w:beforeAutospacing="0" w:after="0" w:afterAutospacing="0" w:line="480" w:lineRule="auto"/>
        <w:ind w:firstLine="720"/>
        <w:jc w:val="both"/>
      </w:pPr>
      <w:r>
        <w:t xml:space="preserve">Even if </w:t>
      </w:r>
      <w:r w:rsidR="00271E73">
        <w:t xml:space="preserve">one assumes </w:t>
      </w:r>
      <w:r w:rsidR="00743798">
        <w:t>that</w:t>
      </w:r>
      <w:r>
        <w:t xml:space="preserve"> </w:t>
      </w:r>
      <w:r w:rsidR="00F20AD1">
        <w:t>ERCOT</w:t>
      </w:r>
      <w:r w:rsidR="00A34EF4">
        <w:t xml:space="preserve"> faces a</w:t>
      </w:r>
      <w:r w:rsidR="00F20AD1">
        <w:t xml:space="preserve"> future</w:t>
      </w:r>
      <w:r w:rsidR="00A34EF4">
        <w:t xml:space="preserve"> capacity shortfall</w:t>
      </w:r>
      <w:r w:rsidR="00F20AD1">
        <w:t xml:space="preserve">, additional capacity </w:t>
      </w:r>
      <w:r w:rsidR="00277CA5">
        <w:t>would</w:t>
      </w:r>
      <w:r w:rsidR="00F20AD1">
        <w:t xml:space="preserve"> not </w:t>
      </w:r>
      <w:r w:rsidR="00E67CB9">
        <w:t xml:space="preserve">improve reliability </w:t>
      </w:r>
      <w:r w:rsidR="00DD70AE">
        <w:t xml:space="preserve">in the face of fuel scarcity and weather-related outages. Nor will additional capacity </w:t>
      </w:r>
      <w:r w:rsidR="0091693B">
        <w:t xml:space="preserve">necessarily </w:t>
      </w:r>
      <w:r w:rsidR="00DD70AE">
        <w:t xml:space="preserve">help ERCOT manage other </w:t>
      </w:r>
      <w:r w:rsidR="0091693B">
        <w:t>reliability challenges</w:t>
      </w:r>
      <w:r w:rsidR="003D70C5">
        <w:t xml:space="preserve">. </w:t>
      </w:r>
      <w:r w:rsidR="411DCF79">
        <w:t xml:space="preserve">The NERC </w:t>
      </w:r>
      <w:r w:rsidR="000B7FAF">
        <w:t xml:space="preserve">WRA </w:t>
      </w:r>
      <w:r w:rsidR="411DCF79">
        <w:t xml:space="preserve">and ERCOT’s </w:t>
      </w:r>
      <w:r w:rsidR="000B7FAF">
        <w:t>SARA</w:t>
      </w:r>
      <w:r w:rsidR="411DCF79">
        <w:t xml:space="preserve"> both reveal the </w:t>
      </w:r>
      <w:r w:rsidR="1218AAE6">
        <w:t xml:space="preserve">risks </w:t>
      </w:r>
      <w:r w:rsidR="411DCF79">
        <w:t>to ERCOT’s reliability during extreme weather events</w:t>
      </w:r>
      <w:r w:rsidR="1E4296C5">
        <w:t>: outages, fuel disruption, and demand volatility</w:t>
      </w:r>
      <w:r w:rsidR="411DCF79">
        <w:t xml:space="preserve"> </w:t>
      </w:r>
      <w:r w:rsidR="3E51DA4D">
        <w:t>creating significant reserve shortages</w:t>
      </w:r>
      <w:r w:rsidR="64B02BE7">
        <w:t xml:space="preserve"> in extreme cold weather</w:t>
      </w:r>
      <w:r w:rsidR="3E51DA4D">
        <w:t xml:space="preserve">. </w:t>
      </w:r>
      <w:r w:rsidR="4A71CAC6">
        <w:t xml:space="preserve"> </w:t>
      </w:r>
      <w:r w:rsidR="6FE145CA">
        <w:t xml:space="preserve">NERC’s 2022-2023 </w:t>
      </w:r>
      <w:r w:rsidR="00841486">
        <w:t>WRA</w:t>
      </w:r>
      <w:r w:rsidR="6FE145CA">
        <w:t xml:space="preserve"> found that under normal peak-demand scenarios, Texas</w:t>
      </w:r>
      <w:r w:rsidR="606BC668">
        <w:t xml:space="preserve"> is expected to have sufficient resources to meet the operating reserve requirements. However</w:t>
      </w:r>
      <w:r w:rsidR="37AB36C8">
        <w:t>,</w:t>
      </w:r>
      <w:r w:rsidR="606BC668">
        <w:t xml:space="preserve"> should there be a</w:t>
      </w:r>
      <w:r w:rsidR="556BDCFF">
        <w:t>n above average peak load and/or outage conditions, ER</w:t>
      </w:r>
      <w:r w:rsidR="4C2204BA">
        <w:t>C</w:t>
      </w:r>
      <w:r w:rsidR="556BDCFF">
        <w:t xml:space="preserve">OT would </w:t>
      </w:r>
      <w:r w:rsidR="6CE1CD52">
        <w:t>need to turn to operating mitigations to meet load requirements.</w:t>
      </w:r>
      <w:r w:rsidR="6FE145CA" w:rsidRPr="4A7B76B9">
        <w:rPr>
          <w:rStyle w:val="FootnoteReference"/>
        </w:rPr>
        <w:footnoteReference w:id="13"/>
      </w:r>
      <w:r w:rsidR="5D96A928">
        <w:t xml:space="preserve"> </w:t>
      </w:r>
      <w:r w:rsidR="278CCBF4">
        <w:t>NERC</w:t>
      </w:r>
      <w:r w:rsidR="0B1536FA">
        <w:t>’s assessment</w:t>
      </w:r>
      <w:r w:rsidR="278CCBF4">
        <w:t xml:space="preserve"> estimates</w:t>
      </w:r>
      <w:r w:rsidR="737FE1C8">
        <w:t xml:space="preserve"> generation deficit, with</w:t>
      </w:r>
      <w:r w:rsidR="278CCBF4">
        <w:t xml:space="preserve"> ERCOT’s project reserve margin at</w:t>
      </w:r>
      <w:r w:rsidR="119CDF21">
        <w:t xml:space="preserve"> -21.4% </w:t>
      </w:r>
      <w:r w:rsidR="278CCBF4">
        <w:t xml:space="preserve">due to outages, fuel disruption, and volatile demand </w:t>
      </w:r>
      <w:r w:rsidR="4F1A6D25">
        <w:t>in extreme cold weather events.</w:t>
      </w:r>
      <w:r w:rsidR="6FE145CA" w:rsidRPr="4A7B76B9">
        <w:rPr>
          <w:rStyle w:val="FootnoteReference"/>
        </w:rPr>
        <w:footnoteReference w:id="14"/>
      </w:r>
      <w:r w:rsidR="4F1A6D25">
        <w:t xml:space="preserve"> </w:t>
      </w:r>
      <w:r w:rsidR="12A625EB">
        <w:t>T</w:t>
      </w:r>
      <w:r w:rsidR="5D96A928">
        <w:t>his assessment emphasizes that ERCOT’s main challenge</w:t>
      </w:r>
      <w:r w:rsidR="3CFA4785">
        <w:t xml:space="preserve"> </w:t>
      </w:r>
      <w:r w:rsidR="5D96A928">
        <w:t>is not its resource adequacy</w:t>
      </w:r>
      <w:r w:rsidR="00D2483E">
        <w:t>,</w:t>
      </w:r>
      <w:r w:rsidR="5D96A928">
        <w:t xml:space="preserve"> but rather its </w:t>
      </w:r>
      <w:r w:rsidR="55E94C05">
        <w:t xml:space="preserve">operational </w:t>
      </w:r>
      <w:r w:rsidR="2B525A39">
        <w:t>response capability in times of constraint.</w:t>
      </w:r>
      <w:r w:rsidR="006475FD" w:rsidDel="006475FD">
        <w:t xml:space="preserve"> </w:t>
      </w:r>
    </w:p>
    <w:p w14:paraId="066B1610" w14:textId="33D9D131" w:rsidR="008322BA" w:rsidRPr="00163DAB" w:rsidRDefault="008671FE" w:rsidP="00362A8F">
      <w:pPr>
        <w:pStyle w:val="NormalWeb"/>
        <w:spacing w:before="0" w:beforeAutospacing="0" w:after="0" w:afterAutospacing="0" w:line="480" w:lineRule="auto"/>
        <w:ind w:firstLine="720"/>
        <w:jc w:val="both"/>
      </w:pPr>
      <w:r>
        <w:t xml:space="preserve">This should lead the Commission to adopt reliability metrics aimed at addressing operational challenges and tailor market designs to achieve those metrics, as discussed more in the next section of these comments. </w:t>
      </w:r>
    </w:p>
    <w:p w14:paraId="7F0EEC62" w14:textId="6EB89391" w:rsidR="008A375E" w:rsidRPr="00163DAB" w:rsidRDefault="00415782" w:rsidP="00362A8F">
      <w:pPr>
        <w:pStyle w:val="NormalWeb"/>
        <w:numPr>
          <w:ilvl w:val="0"/>
          <w:numId w:val="10"/>
        </w:numPr>
        <w:spacing w:before="0" w:beforeAutospacing="0" w:after="0" w:afterAutospacing="0" w:line="480" w:lineRule="auto"/>
        <w:jc w:val="both"/>
      </w:pPr>
      <w:r>
        <w:rPr>
          <w:b/>
          <w:bCs/>
        </w:rPr>
        <w:t xml:space="preserve">Any market design that the Commission adopts should </w:t>
      </w:r>
      <w:r w:rsidR="00D7135B">
        <w:rPr>
          <w:b/>
          <w:bCs/>
        </w:rPr>
        <w:t xml:space="preserve">address </w:t>
      </w:r>
      <w:r w:rsidR="00030399">
        <w:rPr>
          <w:b/>
          <w:bCs/>
        </w:rPr>
        <w:t xml:space="preserve">ERCOT </w:t>
      </w:r>
      <w:r w:rsidR="00BD128B">
        <w:rPr>
          <w:b/>
          <w:bCs/>
        </w:rPr>
        <w:t>operational</w:t>
      </w:r>
      <w:r>
        <w:rPr>
          <w:b/>
          <w:bCs/>
        </w:rPr>
        <w:t xml:space="preserve"> </w:t>
      </w:r>
      <w:r w:rsidR="00030399">
        <w:rPr>
          <w:b/>
          <w:bCs/>
        </w:rPr>
        <w:t xml:space="preserve">reliability </w:t>
      </w:r>
      <w:r w:rsidR="00BD128B">
        <w:rPr>
          <w:b/>
          <w:bCs/>
        </w:rPr>
        <w:t xml:space="preserve">and avoid unnecessary disruptions to ERCOT’s energy </w:t>
      </w:r>
      <w:r w:rsidR="00AB56B0">
        <w:rPr>
          <w:b/>
          <w:bCs/>
        </w:rPr>
        <w:t>market</w:t>
      </w:r>
      <w:r>
        <w:rPr>
          <w:b/>
          <w:bCs/>
        </w:rPr>
        <w:t>.</w:t>
      </w:r>
    </w:p>
    <w:p w14:paraId="658F4D80" w14:textId="416A151E" w:rsidR="00DA73A6" w:rsidRDefault="00CB66D2" w:rsidP="00362A8F">
      <w:pPr>
        <w:pStyle w:val="NormalWeb"/>
        <w:spacing w:before="0" w:beforeAutospacing="0" w:after="0" w:afterAutospacing="0" w:line="480" w:lineRule="auto"/>
        <w:ind w:firstLine="360"/>
        <w:jc w:val="both"/>
      </w:pPr>
      <w:r>
        <w:t xml:space="preserve">Despite recent failures, </w:t>
      </w:r>
      <w:r w:rsidR="00891FB6">
        <w:t>ERCOT's energy-only market has provide</w:t>
      </w:r>
      <w:r>
        <w:t>d</w:t>
      </w:r>
      <w:r w:rsidR="00891FB6">
        <w:t xml:space="preserve"> Texans with affordable and reliable electricity</w:t>
      </w:r>
      <w:r>
        <w:t xml:space="preserve"> for decades</w:t>
      </w:r>
      <w:r w:rsidR="00891FB6">
        <w:t>.</w:t>
      </w:r>
      <w:r>
        <w:t xml:space="preserve">  </w:t>
      </w:r>
      <w:r w:rsidR="00AA15C2">
        <w:t xml:space="preserve">This market, unique in the country, has attracted billions of dollars in investment due to low barriers to entry, </w:t>
      </w:r>
      <w:r w:rsidR="00023452">
        <w:t xml:space="preserve">healthy competition, and transparent price signals. The market is supported by solid transmission infrastructure that is growing and improving at a time when </w:t>
      </w:r>
      <w:r w:rsidR="00DA73A6">
        <w:t>other regions are marred by stagnation</w:t>
      </w:r>
      <w:r w:rsidR="00ED0DCB">
        <w:t xml:space="preserve"> in transmission </w:t>
      </w:r>
      <w:r w:rsidR="00D62D59">
        <w:t>planning and development</w:t>
      </w:r>
      <w:r w:rsidR="00DA73A6">
        <w:t xml:space="preserve">. </w:t>
      </w:r>
    </w:p>
    <w:p w14:paraId="13DF7C5B" w14:textId="6048E979" w:rsidR="006059D7" w:rsidRDefault="0060181C" w:rsidP="00362A8F">
      <w:pPr>
        <w:pStyle w:val="NormalWeb"/>
        <w:spacing w:before="0" w:beforeAutospacing="0" w:after="0" w:afterAutospacing="0" w:line="480" w:lineRule="auto"/>
        <w:ind w:firstLine="720"/>
        <w:jc w:val="both"/>
      </w:pPr>
      <w:r>
        <w:t>Nonetheless</w:t>
      </w:r>
      <w:r w:rsidR="00DA73A6">
        <w:t xml:space="preserve">, Winter Storm Uri revealed that the Texas energy-only market </w:t>
      </w:r>
      <w:r>
        <w:t xml:space="preserve">urgently </w:t>
      </w:r>
      <w:r w:rsidR="00DA73A6">
        <w:t>need</w:t>
      </w:r>
      <w:r>
        <w:t>s</w:t>
      </w:r>
      <w:r w:rsidR="00DA73A6">
        <w:t xml:space="preserve"> improvements. </w:t>
      </w:r>
      <w:r w:rsidR="00122EF4">
        <w:t xml:space="preserve">In </w:t>
      </w:r>
      <w:r w:rsidR="00E6624A">
        <w:t>Uri’s</w:t>
      </w:r>
      <w:r w:rsidR="00122EF4">
        <w:t xml:space="preserve"> aftermath, </w:t>
      </w:r>
      <w:r w:rsidR="00532E20">
        <w:t xml:space="preserve">the Commission and ERCOT adopted a number of new </w:t>
      </w:r>
      <w:r w:rsidR="4A13D9EC">
        <w:t xml:space="preserve">measures </w:t>
      </w:r>
      <w:r w:rsidR="00532E20">
        <w:t>as part of the first phase of reforms</w:t>
      </w:r>
      <w:r w:rsidR="00946A4B">
        <w:t xml:space="preserve">. Many of these </w:t>
      </w:r>
      <w:r w:rsidR="00626DF1">
        <w:t xml:space="preserve">have already been successful </w:t>
      </w:r>
      <w:r w:rsidR="003A4CCC">
        <w:t>at improving</w:t>
      </w:r>
      <w:r w:rsidR="00626DF1">
        <w:t xml:space="preserve"> reliability</w:t>
      </w:r>
      <w:r w:rsidR="00946A4B">
        <w:t>.</w:t>
      </w:r>
      <w:r w:rsidR="00626DF1">
        <w:t xml:space="preserve"> ORDC improvements and increases in </w:t>
      </w:r>
      <w:r w:rsidR="000D4A8B">
        <w:t>ERCOT Contingency Reserve Service (</w:t>
      </w:r>
      <w:r w:rsidR="00626DF1">
        <w:t>ECRS</w:t>
      </w:r>
      <w:r w:rsidR="000D4A8B">
        <w:t>)</w:t>
      </w:r>
      <w:r w:rsidR="00626DF1">
        <w:t xml:space="preserve"> and non-spin reserves are providing more revenue</w:t>
      </w:r>
      <w:r w:rsidR="00946A4B">
        <w:t xml:space="preserve"> to dispatchable generators</w:t>
      </w:r>
      <w:r w:rsidR="00626DF1">
        <w:t xml:space="preserve">. Weatherization and firm fuel service, although </w:t>
      </w:r>
      <w:r w:rsidR="003730EC">
        <w:t xml:space="preserve">largely </w:t>
      </w:r>
      <w:r w:rsidR="00626DF1">
        <w:t xml:space="preserve">untested, </w:t>
      </w:r>
      <w:r w:rsidR="00946A4B">
        <w:t xml:space="preserve">provide </w:t>
      </w:r>
      <w:r w:rsidR="007D769B">
        <w:t xml:space="preserve">a bulwark against future </w:t>
      </w:r>
      <w:r w:rsidR="00626DF1">
        <w:t>extreme cold snap</w:t>
      </w:r>
      <w:r w:rsidR="003F3955">
        <w:t>s</w:t>
      </w:r>
      <w:r w:rsidR="00626DF1">
        <w:t xml:space="preserve">. </w:t>
      </w:r>
      <w:r w:rsidR="006059D7">
        <w:t xml:space="preserve">However, some problems with </w:t>
      </w:r>
      <w:r w:rsidR="003D7154">
        <w:t xml:space="preserve">these reforms remain unresolved. Without sufficiently flexible generation on its system, ERCOT must rely on inflexible generation that has lengthy start-up and minimum run times and must be committed through out-of-market reliability unit commitments (RUCs). Because they occur out-of-market, RUCs degrade the price signals the energy market would otherwise send and prevent needed investment in more flexible generation. </w:t>
      </w:r>
      <w:r w:rsidR="6D0144E2">
        <w:t xml:space="preserve">Moreover, </w:t>
      </w:r>
      <w:r w:rsidR="1DE0A9F6">
        <w:t xml:space="preserve">these </w:t>
      </w:r>
      <w:r w:rsidR="003D7154">
        <w:t>operations are requiring</w:t>
      </w:r>
      <w:r w:rsidR="559A5492">
        <w:t xml:space="preserve"> </w:t>
      </w:r>
      <w:r w:rsidR="003D7154">
        <w:t xml:space="preserve">older thermal </w:t>
      </w:r>
      <w:r w:rsidR="091FE4A6">
        <w:t xml:space="preserve">units </w:t>
      </w:r>
      <w:r w:rsidR="003D7154">
        <w:t>to run more often</w:t>
      </w:r>
      <w:r w:rsidR="7B08A7BB">
        <w:t>,</w:t>
      </w:r>
      <w:r w:rsidR="003D7154">
        <w:t xml:space="preserve"> causing wear and tear on these facilities </w:t>
      </w:r>
      <w:r w:rsidR="59906898">
        <w:t xml:space="preserve">that </w:t>
      </w:r>
      <w:r w:rsidR="00D14978">
        <w:t>will</w:t>
      </w:r>
      <w:r w:rsidR="00515E4D">
        <w:t xml:space="preserve"> </w:t>
      </w:r>
      <w:r w:rsidR="203494A7">
        <w:t xml:space="preserve">likely </w:t>
      </w:r>
      <w:r w:rsidR="7AC3B0CC">
        <w:t xml:space="preserve">increase </w:t>
      </w:r>
      <w:r w:rsidR="003D7154">
        <w:t>forced outage</w:t>
      </w:r>
      <w:r w:rsidR="159957F6">
        <w:t xml:space="preserve"> rates</w:t>
      </w:r>
      <w:r w:rsidR="003D7154">
        <w:t>.</w:t>
      </w:r>
    </w:p>
    <w:p w14:paraId="003FA1AC" w14:textId="75D6D9E8" w:rsidR="009A2843" w:rsidRDefault="00122EF4" w:rsidP="00607188">
      <w:pPr>
        <w:pStyle w:val="NormalWeb"/>
        <w:spacing w:before="0" w:beforeAutospacing="0" w:after="0" w:afterAutospacing="0" w:line="480" w:lineRule="auto"/>
        <w:ind w:firstLine="360"/>
        <w:jc w:val="both"/>
      </w:pPr>
      <w:r>
        <w:t xml:space="preserve">As the Commission </w:t>
      </w:r>
      <w:r w:rsidR="003D7154">
        <w:t xml:space="preserve">enters the next phase of further improving the ERCOT grid, it should give </w:t>
      </w:r>
      <w:r w:rsidR="00A96EEB">
        <w:t xml:space="preserve">earlier </w:t>
      </w:r>
      <w:r>
        <w:t xml:space="preserve">reforms </w:t>
      </w:r>
      <w:r w:rsidR="003D7154">
        <w:t xml:space="preserve">time to work </w:t>
      </w:r>
      <w:r w:rsidR="2A115E14">
        <w:t xml:space="preserve">(and be improved), while also </w:t>
      </w:r>
      <w:r w:rsidR="00113875">
        <w:t>ensur</w:t>
      </w:r>
      <w:r w:rsidR="69964DAA">
        <w:t>ing</w:t>
      </w:r>
      <w:r w:rsidR="00113875">
        <w:t xml:space="preserve"> that the benefits of Texas energy-only market </w:t>
      </w:r>
      <w:r w:rsidR="006059D7">
        <w:t xml:space="preserve">persist through the next phase. </w:t>
      </w:r>
      <w:r w:rsidR="00D236A0">
        <w:t xml:space="preserve">The Commission should be skeptical of capacity market-like solutions </w:t>
      </w:r>
      <w:r w:rsidR="000B2644">
        <w:t xml:space="preserve">given the experience of other regions with similar constructs. </w:t>
      </w:r>
    </w:p>
    <w:p w14:paraId="26609909" w14:textId="5ED4D72E" w:rsidR="00F61CC8" w:rsidRDefault="00BE57E0" w:rsidP="00607188">
      <w:pPr>
        <w:pStyle w:val="NormalWeb"/>
        <w:spacing w:before="0" w:beforeAutospacing="0" w:after="0" w:afterAutospacing="0" w:line="480" w:lineRule="auto"/>
        <w:ind w:firstLine="360"/>
        <w:jc w:val="both"/>
      </w:pPr>
      <w:r>
        <w:t xml:space="preserve">Some RTOs with capacity markets are looking to procure ancillary services to address </w:t>
      </w:r>
      <w:r w:rsidR="03F593BF">
        <w:t xml:space="preserve">similar </w:t>
      </w:r>
      <w:r>
        <w:t xml:space="preserve">operational problems </w:t>
      </w:r>
      <w:r w:rsidR="3026D66A">
        <w:t xml:space="preserve">faced by </w:t>
      </w:r>
      <w:r>
        <w:t xml:space="preserve">ERCOT. </w:t>
      </w:r>
      <w:r w:rsidR="0007361A">
        <w:t xml:space="preserve"> Experience from these markets indicates that capacity market constructs are not </w:t>
      </w:r>
      <w:r w:rsidR="004E2F9F">
        <w:t xml:space="preserve">a </w:t>
      </w:r>
      <w:r w:rsidR="003F48DD">
        <w:t xml:space="preserve">generic </w:t>
      </w:r>
      <w:r w:rsidR="00881CF6">
        <w:t xml:space="preserve">remedy for all </w:t>
      </w:r>
      <w:r w:rsidR="00914AA2">
        <w:t xml:space="preserve">reliability problems but rather, operational </w:t>
      </w:r>
      <w:r w:rsidR="00886EE8">
        <w:t xml:space="preserve">challenges are often better solved with ancillary service solutions. </w:t>
      </w:r>
      <w:r>
        <w:t xml:space="preserve">In the ISO New England (ISO-NE) region, for </w:t>
      </w:r>
      <w:r w:rsidR="0047104A">
        <w:t xml:space="preserve">example, grid operators face </w:t>
      </w:r>
      <w:r w:rsidR="00203999">
        <w:t xml:space="preserve">a persistent </w:t>
      </w:r>
      <w:r w:rsidR="0047104A">
        <w:t xml:space="preserve">threat of fuel </w:t>
      </w:r>
      <w:r w:rsidR="00203999">
        <w:t xml:space="preserve">supply </w:t>
      </w:r>
      <w:r w:rsidR="0047104A">
        <w:t xml:space="preserve">shortages during periods </w:t>
      </w:r>
      <w:r w:rsidR="00203999">
        <w:t>of extreme cold</w:t>
      </w:r>
      <w:r w:rsidR="00711D03">
        <w:t>, as Texas experienced in 2021</w:t>
      </w:r>
      <w:r w:rsidR="00203999">
        <w:t>.</w:t>
      </w:r>
      <w:r w:rsidR="00BC35EA">
        <w:t xml:space="preserve"> </w:t>
      </w:r>
      <w:r w:rsidR="00711D03">
        <w:t>A</w:t>
      </w:r>
      <w:r w:rsidR="00E01D85">
        <w:t xml:space="preserve">nd, as in Texas, renewables </w:t>
      </w:r>
      <w:r w:rsidR="00BC35EA">
        <w:t xml:space="preserve">are quickly outstripping </w:t>
      </w:r>
      <w:r w:rsidR="00F25BAD">
        <w:t>conventional thermal generation</w:t>
      </w:r>
      <w:r w:rsidR="00E01D85">
        <w:t xml:space="preserve"> in the ISO-NE region</w:t>
      </w:r>
      <w:r w:rsidR="00F25BAD">
        <w:t>.</w:t>
      </w:r>
      <w:r w:rsidR="00203999">
        <w:t xml:space="preserve"> </w:t>
      </w:r>
      <w:r w:rsidR="00047F1F">
        <w:t xml:space="preserve">After multiple iterations of </w:t>
      </w:r>
      <w:r w:rsidR="5889CC9F">
        <w:t xml:space="preserve">measures </w:t>
      </w:r>
      <w:r w:rsidR="00047F1F">
        <w:t>to establish performance incentives and penalties</w:t>
      </w:r>
      <w:r w:rsidR="00047F1F">
        <w:rPr>
          <w:rStyle w:val="FootnoteReference"/>
        </w:rPr>
        <w:footnoteReference w:id="15"/>
      </w:r>
      <w:r w:rsidR="00047F1F">
        <w:t xml:space="preserve"> and manage the retirement of thermal resources</w:t>
      </w:r>
      <w:r w:rsidR="00185F04">
        <w:t xml:space="preserve"> through </w:t>
      </w:r>
      <w:r w:rsidR="0074401E">
        <w:t>the Competitive Auctions with Sponsored Policy Resources (CASPR) program</w:t>
      </w:r>
      <w:r w:rsidR="00047F1F">
        <w:t xml:space="preserve">, ISO-NE ultimately sought to implement </w:t>
      </w:r>
      <w:r w:rsidR="00026A92">
        <w:t xml:space="preserve">new </w:t>
      </w:r>
      <w:r w:rsidR="00047F1F">
        <w:t>ancillary service product</w:t>
      </w:r>
      <w:r w:rsidR="00026A92">
        <w:t>s</w:t>
      </w:r>
      <w:r w:rsidR="00047F1F">
        <w:t xml:space="preserve"> to manage operational </w:t>
      </w:r>
      <w:r w:rsidR="00026A92">
        <w:t>reliability.</w:t>
      </w:r>
      <w:r w:rsidR="00026A92">
        <w:rPr>
          <w:rStyle w:val="FootnoteReference"/>
        </w:rPr>
        <w:footnoteReference w:id="16"/>
      </w:r>
      <w:r w:rsidR="00026A92">
        <w:t xml:space="preserve"> </w:t>
      </w:r>
      <w:r w:rsidR="00F13A93">
        <w:t xml:space="preserve">In PJM, </w:t>
      </w:r>
      <w:r w:rsidR="003A104A">
        <w:t xml:space="preserve">grid operators </w:t>
      </w:r>
      <w:r w:rsidR="001F7C5A">
        <w:t xml:space="preserve">face </w:t>
      </w:r>
      <w:r w:rsidR="00F13A93">
        <w:t xml:space="preserve">a similar </w:t>
      </w:r>
      <w:r w:rsidR="00F25BAD">
        <w:t xml:space="preserve">threat of weather-correlated outages </w:t>
      </w:r>
      <w:r w:rsidR="0026543A">
        <w:t xml:space="preserve">of PJM’s existing thermal fleet while having to manage a large influx of new </w:t>
      </w:r>
      <w:r w:rsidR="00F13A93">
        <w:t xml:space="preserve">renewable resources. PJM operates </w:t>
      </w:r>
      <w:r w:rsidR="00E4010B">
        <w:t>the largest</w:t>
      </w:r>
      <w:r w:rsidR="00F13A93">
        <w:t xml:space="preserve"> capacity market</w:t>
      </w:r>
      <w:r w:rsidR="00E4010B">
        <w:t xml:space="preserve"> in the country but</w:t>
      </w:r>
      <w:r w:rsidR="00D03975">
        <w:t xml:space="preserve"> does not rely on its capacity market to procure operational flexibility</w:t>
      </w:r>
      <w:r w:rsidR="00BC4851">
        <w:t>.</w:t>
      </w:r>
      <w:r w:rsidR="00112DEC">
        <w:t xml:space="preserve"> </w:t>
      </w:r>
      <w:r w:rsidR="00F61CC8">
        <w:t xml:space="preserve">PJM’s </w:t>
      </w:r>
      <w:r w:rsidR="00F61CC8" w:rsidRPr="00A53AF3">
        <w:rPr>
          <w:i/>
          <w:iCs/>
        </w:rPr>
        <w:t>Renewable Integration Study</w:t>
      </w:r>
      <w:r w:rsidR="00F61CC8">
        <w:t xml:space="preserve"> reaffirmed the need for operational flexibility to address the rise in uncertainty, as the study found the system would face 50% steeper net-load ramping periods, frequent dispatch of generators to their economic minimum, and lower capacity factors for thermal resources.</w:t>
      </w:r>
      <w:r w:rsidR="00F61CC8" w:rsidRPr="52E264D8">
        <w:rPr>
          <w:rStyle w:val="FootnoteReference"/>
        </w:rPr>
        <w:footnoteReference w:id="17"/>
      </w:r>
      <w:r w:rsidR="00A53AF3">
        <w:t xml:space="preserve"> </w:t>
      </w:r>
      <w:r w:rsidR="7BF0B3EA">
        <w:t xml:space="preserve">PJM’s </w:t>
      </w:r>
      <w:r w:rsidR="00F61CC8">
        <w:t>subsequent study</w:t>
      </w:r>
      <w:r w:rsidR="4A3E0A4F">
        <w:t>,</w:t>
      </w:r>
      <w:r w:rsidR="00F61CC8">
        <w:t xml:space="preserve"> </w:t>
      </w:r>
      <w:r w:rsidR="00F61CC8" w:rsidRPr="00A53AF3">
        <w:rPr>
          <w:i/>
          <w:iCs/>
        </w:rPr>
        <w:t>Emerging Characteristics of a Decarbonizing Grid</w:t>
      </w:r>
      <w:r w:rsidR="00A53AF3">
        <w:t>,</w:t>
      </w:r>
      <w:r w:rsidR="00F61CC8">
        <w:t xml:space="preserve"> highlighted the need for increased operational flexibility due to the variability of intermittent generation.</w:t>
      </w:r>
      <w:r w:rsidR="00F61CC8" w:rsidRPr="7A7809D7">
        <w:rPr>
          <w:rStyle w:val="FootnoteReference"/>
        </w:rPr>
        <w:footnoteReference w:id="18"/>
      </w:r>
      <w:r w:rsidR="00F61CC8">
        <w:t xml:space="preserve"> These studies indicate that PJM will reform and expand ancillary service products that would enhance ramping and reserves to complement growing </w:t>
      </w:r>
      <w:r w:rsidR="007A49F5">
        <w:t>variable renewable</w:t>
      </w:r>
      <w:r w:rsidR="00F61CC8">
        <w:t xml:space="preserve"> generation.</w:t>
      </w:r>
      <w:r w:rsidR="00F61CC8" w:rsidRPr="38EB7B92">
        <w:rPr>
          <w:rStyle w:val="FootnoteReference"/>
        </w:rPr>
        <w:footnoteReference w:id="19"/>
      </w:r>
    </w:p>
    <w:p w14:paraId="63BDAE18" w14:textId="15C6F541" w:rsidR="002318B7" w:rsidRDefault="009674E5" w:rsidP="00ED3754">
      <w:pPr>
        <w:pStyle w:val="NormalWeb"/>
        <w:spacing w:before="0" w:beforeAutospacing="0" w:after="0" w:afterAutospacing="0" w:line="480" w:lineRule="auto"/>
        <w:ind w:firstLine="360"/>
        <w:jc w:val="both"/>
      </w:pPr>
      <w:r>
        <w:t>Solutions to Texas grid reliability problems can be found without establishing a capacity market or a capacity market-like</w:t>
      </w:r>
      <w:r w:rsidR="00912CAF">
        <w:t xml:space="preserve"> </w:t>
      </w:r>
      <w:r>
        <w:t xml:space="preserve">solutions. </w:t>
      </w:r>
      <w:r w:rsidR="00CD43D2">
        <w:t xml:space="preserve"> </w:t>
      </w:r>
      <w:r w:rsidR="008A375E" w:rsidRPr="00163DAB">
        <w:t xml:space="preserve">The solution that the Commission adopts </w:t>
      </w:r>
      <w:r w:rsidR="00113DF0">
        <w:t xml:space="preserve">in this proceeding </w:t>
      </w:r>
      <w:r w:rsidR="008A375E" w:rsidRPr="00163DAB">
        <w:t xml:space="preserve">should preserve the benefits of Texas's energy-only market: competition, </w:t>
      </w:r>
      <w:r w:rsidR="005E3A0A">
        <w:t xml:space="preserve">transparency, and </w:t>
      </w:r>
      <w:r w:rsidR="008A375E" w:rsidRPr="00163DAB">
        <w:t xml:space="preserve">low consumer costs. The solution should also be narrowly tailored to solve the specific reliability problem </w:t>
      </w:r>
      <w:r w:rsidR="00510CFE" w:rsidRPr="00163DAB">
        <w:t xml:space="preserve">of </w:t>
      </w:r>
      <w:r w:rsidR="00420AF8" w:rsidRPr="00163DAB">
        <w:t>the reserve shortage period</w:t>
      </w:r>
      <w:r w:rsidR="00510CFE" w:rsidRPr="00163DAB">
        <w:t xml:space="preserve"> </w:t>
      </w:r>
      <w:r w:rsidR="008A375E" w:rsidRPr="00163DAB">
        <w:t>and should be easily implemented to provide consumers with reliable and affordable energy.</w:t>
      </w:r>
      <w:r w:rsidR="00724077" w:rsidRPr="00163DAB">
        <w:t xml:space="preserve"> </w:t>
      </w:r>
    </w:p>
    <w:p w14:paraId="07138C98" w14:textId="2318D9E3" w:rsidR="003F2A45" w:rsidRDefault="003F2A45" w:rsidP="00362A8F">
      <w:pPr>
        <w:pStyle w:val="NormalWeb"/>
        <w:numPr>
          <w:ilvl w:val="0"/>
          <w:numId w:val="10"/>
        </w:numPr>
        <w:spacing w:before="0" w:beforeAutospacing="0" w:after="0" w:afterAutospacing="0" w:line="480" w:lineRule="auto"/>
        <w:jc w:val="both"/>
      </w:pPr>
      <w:r>
        <w:rPr>
          <w:b/>
          <w:bCs/>
        </w:rPr>
        <w:t>The Commission should consider adopting a new ancillary service product</w:t>
      </w:r>
      <w:r w:rsidR="00266632">
        <w:rPr>
          <w:b/>
          <w:bCs/>
        </w:rPr>
        <w:t xml:space="preserve"> to address operational reliability and a targeted backstop reliability service or bridge mechanism if it finds it necessary to address resource adequacy in the short-term</w:t>
      </w:r>
      <w:r>
        <w:rPr>
          <w:b/>
          <w:bCs/>
        </w:rPr>
        <w:t xml:space="preserve">. </w:t>
      </w:r>
    </w:p>
    <w:p w14:paraId="2EEAA45A" w14:textId="497A295D" w:rsidR="00A471FA" w:rsidRDefault="00A471FA" w:rsidP="00A471FA">
      <w:pPr>
        <w:pStyle w:val="NormalWeb"/>
        <w:spacing w:before="0" w:beforeAutospacing="0" w:after="0" w:afterAutospacing="0" w:line="480" w:lineRule="auto"/>
        <w:ind w:firstLine="360"/>
        <w:jc w:val="both"/>
      </w:pPr>
      <w:r w:rsidRPr="00163DAB">
        <w:t xml:space="preserve">Based on </w:t>
      </w:r>
      <w:r w:rsidR="00567608">
        <w:t>its</w:t>
      </w:r>
      <w:r w:rsidRPr="00163DAB">
        <w:t xml:space="preserve"> analysis of the current state of the energy market, the IMM recommend</w:t>
      </w:r>
      <w:r w:rsidR="4873DAAB" w:rsidRPr="00163DAB">
        <w:t>s</w:t>
      </w:r>
      <w:r w:rsidRPr="00163DAB">
        <w:t xml:space="preserve"> an ancillary service product procured </w:t>
      </w:r>
      <w:r w:rsidR="00567608">
        <w:t>day</w:t>
      </w:r>
      <w:r w:rsidR="00C24259">
        <w:t>-</w:t>
      </w:r>
      <w:r w:rsidR="00567608">
        <w:t>ahead</w:t>
      </w:r>
      <w:r w:rsidRPr="00163DAB">
        <w:t xml:space="preserve"> and deployed during constrained real</w:t>
      </w:r>
      <w:r w:rsidR="00567608">
        <w:t>-</w:t>
      </w:r>
      <w:r w:rsidRPr="00163DAB">
        <w:t>time conditions to address supply uncertainty.</w:t>
      </w:r>
      <w:r w:rsidR="00567608" w:rsidRPr="00163DAB">
        <w:rPr>
          <w:rStyle w:val="FootnoteReference"/>
        </w:rPr>
        <w:footnoteReference w:id="20"/>
      </w:r>
      <w:r w:rsidRPr="00163DAB">
        <w:t xml:space="preserve"> </w:t>
      </w:r>
      <w:r w:rsidR="00567608">
        <w:t>This product</w:t>
      </w:r>
      <w:r w:rsidRPr="00163DAB">
        <w:t xml:space="preserve"> would increase reliability by accurately valuing the flexible generating resources that could be dispatched in real time, and thus providing signals for investment into more flexible dispatchable generation. Such a construct is </w:t>
      </w:r>
      <w:r>
        <w:t xml:space="preserve">also </w:t>
      </w:r>
      <w:r w:rsidRPr="00163DAB">
        <w:t xml:space="preserve">aligned with </w:t>
      </w:r>
      <w:r w:rsidR="00A91BAF">
        <w:t>SB3</w:t>
      </w:r>
      <w:r w:rsidRPr="00163DAB">
        <w:t xml:space="preserve">, which </w:t>
      </w:r>
      <w:r w:rsidR="00697DA0">
        <w:t>requires</w:t>
      </w:r>
      <w:r w:rsidRPr="00163DAB">
        <w:t xml:space="preserve"> the </w:t>
      </w:r>
      <w:r w:rsidR="0050772C">
        <w:t>Commission</w:t>
      </w:r>
      <w:r w:rsidR="00697DA0">
        <w:t xml:space="preserve"> to</w:t>
      </w:r>
      <w:r w:rsidR="0050772C" w:rsidRPr="00163DAB">
        <w:t xml:space="preserve"> </w:t>
      </w:r>
      <w:r w:rsidRPr="00163DAB">
        <w:t>ensure ERCOT determine and procure the necessary quantity of ancillary or reliability services to ensure reliability during shortage periods.</w:t>
      </w:r>
      <w:r w:rsidRPr="00163DAB">
        <w:rPr>
          <w:rStyle w:val="FootnoteReference"/>
        </w:rPr>
        <w:footnoteReference w:id="21"/>
      </w:r>
      <w:r>
        <w:t xml:space="preserve"> </w:t>
      </w:r>
      <w:r w:rsidR="007413DF">
        <w:t xml:space="preserve">The E3 </w:t>
      </w:r>
      <w:r w:rsidR="00351BE7">
        <w:t>R</w:t>
      </w:r>
      <w:r w:rsidR="007413DF">
        <w:t xml:space="preserve">eport did not evaluate this </w:t>
      </w:r>
      <w:r w:rsidR="004A34E1">
        <w:t xml:space="preserve">construct. </w:t>
      </w:r>
    </w:p>
    <w:p w14:paraId="7C9B54B3" w14:textId="1AC52213" w:rsidR="000E78C7" w:rsidRDefault="008E7274" w:rsidP="00362A8F">
      <w:pPr>
        <w:pStyle w:val="NormalWeb"/>
        <w:spacing w:before="0" w:beforeAutospacing="0" w:after="0" w:afterAutospacing="0" w:line="480" w:lineRule="auto"/>
        <w:jc w:val="both"/>
      </w:pPr>
      <w:r>
        <w:tab/>
        <w:t xml:space="preserve">Pine Gate encourages the Commission to consider the </w:t>
      </w:r>
      <w:r w:rsidR="00A8003B">
        <w:t xml:space="preserve">comments submitted by the </w:t>
      </w:r>
      <w:r w:rsidR="00530FB5">
        <w:t>DRRS Coalition</w:t>
      </w:r>
      <w:r w:rsidR="00605388">
        <w:t>.</w:t>
      </w:r>
      <w:r w:rsidR="00B846D3">
        <w:rPr>
          <w:rStyle w:val="FootnoteReference"/>
        </w:rPr>
        <w:footnoteReference w:id="22"/>
      </w:r>
      <w:r w:rsidR="005E3796">
        <w:t xml:space="preserve"> </w:t>
      </w:r>
      <w:r w:rsidR="00605388">
        <w:t xml:space="preserve">The DRRS </w:t>
      </w:r>
      <w:r w:rsidR="0050772C">
        <w:t>Coalition proposes</w:t>
      </w:r>
      <w:r w:rsidR="00C6584A">
        <w:t xml:space="preserve"> a new </w:t>
      </w:r>
      <w:r w:rsidR="03044914">
        <w:t>four</w:t>
      </w:r>
      <w:r w:rsidR="007B6BE1">
        <w:t>-hour reserve product, Dispatchable Reliability Reserve Service (DRRS)</w:t>
      </w:r>
      <w:r w:rsidR="00A40B35">
        <w:t xml:space="preserve">, </w:t>
      </w:r>
      <w:r w:rsidR="002C58CA">
        <w:t xml:space="preserve">that </w:t>
      </w:r>
      <w:r w:rsidR="007B384A">
        <w:t xml:space="preserve">would provide a market mechanism to address </w:t>
      </w:r>
      <w:r w:rsidR="00DA23F5">
        <w:t xml:space="preserve">ERCOT’s </w:t>
      </w:r>
      <w:r w:rsidR="00501E5D">
        <w:t>real-time operational uncertainty problem</w:t>
      </w:r>
      <w:r w:rsidR="00592665">
        <w:t>. As described above, this operational uncertainty is</w:t>
      </w:r>
      <w:r w:rsidR="00501E5D">
        <w:t xml:space="preserve"> </w:t>
      </w:r>
      <w:r w:rsidR="002D2F9A">
        <w:t xml:space="preserve">caused by </w:t>
      </w:r>
      <w:r w:rsidR="00B05EE9">
        <w:t xml:space="preserve">issues that typically have a </w:t>
      </w:r>
      <w:r w:rsidR="003E1FF8">
        <w:t>two to four</w:t>
      </w:r>
      <w:r w:rsidR="0050772C">
        <w:t>-hour</w:t>
      </w:r>
      <w:r w:rsidR="00B05EE9">
        <w:t xml:space="preserve"> duration: </w:t>
      </w:r>
      <w:r w:rsidR="00DA23F5">
        <w:t>unexpected demand shifts, variable renewable generation, insufficient ramp capability, and unexpected thermal outages</w:t>
      </w:r>
      <w:r w:rsidR="008A49AB">
        <w:t xml:space="preserve">. </w:t>
      </w:r>
      <w:r w:rsidR="00592665">
        <w:t xml:space="preserve">The DRRS </w:t>
      </w:r>
      <w:r w:rsidR="009A418A">
        <w:t xml:space="preserve">product could improve reliability </w:t>
      </w:r>
      <w:r w:rsidR="00B2760A">
        <w:t xml:space="preserve">by </w:t>
      </w:r>
      <w:r w:rsidR="00B05EE9">
        <w:t xml:space="preserve">providing ERCOT a tool to address these issues. </w:t>
      </w:r>
      <w:r w:rsidR="00BC5F21">
        <w:t>Here</w:t>
      </w:r>
      <w:r w:rsidR="00547B80">
        <w:t>, t</w:t>
      </w:r>
      <w:r w:rsidR="000E78C7">
        <w:t xml:space="preserve">he experience in other markets </w:t>
      </w:r>
      <w:r w:rsidR="002007BF">
        <w:t xml:space="preserve">may </w:t>
      </w:r>
      <w:r w:rsidR="00547B80">
        <w:t xml:space="preserve">again </w:t>
      </w:r>
      <w:r w:rsidR="002007BF">
        <w:t xml:space="preserve">be instructive. </w:t>
      </w:r>
      <w:r w:rsidR="002007BF" w:rsidRPr="00163DAB">
        <w:t xml:space="preserve">PJM </w:t>
      </w:r>
      <w:r w:rsidR="002007BF">
        <w:t xml:space="preserve">recently </w:t>
      </w:r>
      <w:r w:rsidR="002007BF" w:rsidRPr="00163DAB">
        <w:t xml:space="preserve">analyzed various scenarios of renewable penetration and their findings show </w:t>
      </w:r>
      <w:r w:rsidR="7CD506EB">
        <w:t>four</w:t>
      </w:r>
      <w:r w:rsidR="002007BF" w:rsidRPr="00163DAB">
        <w:t>-hour energy storage and hybrid resources as a promising potential solution to reliability concerns. Their analysis indicated that storage resources would provide up to 80% of reserves in the ancillary service market and complemented all generation portfolios studied in terms of resource adequacy.</w:t>
      </w:r>
      <w:r w:rsidR="002007BF" w:rsidRPr="00163DAB">
        <w:rPr>
          <w:rStyle w:val="FootnoteReference"/>
        </w:rPr>
        <w:footnoteReference w:id="23"/>
      </w:r>
    </w:p>
    <w:p w14:paraId="1C4E043B" w14:textId="401EB87A" w:rsidR="00A2414C" w:rsidRPr="00A2414C" w:rsidRDefault="000E78C7" w:rsidP="007F1625">
      <w:pPr>
        <w:pStyle w:val="NormalWeb"/>
        <w:spacing w:before="0" w:beforeAutospacing="0" w:after="0" w:afterAutospacing="0" w:line="480" w:lineRule="auto"/>
        <w:ind w:firstLine="360"/>
        <w:jc w:val="both"/>
      </w:pPr>
      <w:r>
        <w:t>B</w:t>
      </w:r>
      <w:r w:rsidR="007D5DD3">
        <w:t xml:space="preserve">ecause the product has a limited time duration and a transparent </w:t>
      </w:r>
      <w:r w:rsidR="00F458BC">
        <w:t xml:space="preserve">market price, it would </w:t>
      </w:r>
      <w:r w:rsidR="00E7616A">
        <w:t xml:space="preserve">avoid disrupting </w:t>
      </w:r>
      <w:r w:rsidR="009A418A">
        <w:t xml:space="preserve">the </w:t>
      </w:r>
      <w:r w:rsidR="00004B73">
        <w:t xml:space="preserve">existing </w:t>
      </w:r>
      <w:r w:rsidR="009A418A">
        <w:t xml:space="preserve">energy market </w:t>
      </w:r>
      <w:r w:rsidR="00004B73">
        <w:t xml:space="preserve">on which </w:t>
      </w:r>
      <w:r w:rsidR="003770AA">
        <w:t xml:space="preserve">generators and investors </w:t>
      </w:r>
      <w:r w:rsidR="00B05EE9">
        <w:t xml:space="preserve">currently </w:t>
      </w:r>
      <w:r w:rsidR="003770AA">
        <w:t xml:space="preserve">rely </w:t>
      </w:r>
      <w:r w:rsidR="000C4D76">
        <w:t xml:space="preserve">to make business decisions in Texas. </w:t>
      </w:r>
      <w:r w:rsidR="003B076D">
        <w:t xml:space="preserve">As a backstop measure, </w:t>
      </w:r>
      <w:r w:rsidR="00E912D9">
        <w:t xml:space="preserve">the DRRS Coalition also proposes </w:t>
      </w:r>
      <w:r w:rsidR="00624AC8">
        <w:t>a</w:t>
      </w:r>
      <w:r w:rsidR="00961C2F">
        <w:t xml:space="preserve">n interim </w:t>
      </w:r>
      <w:r w:rsidR="004C5A1F">
        <w:t xml:space="preserve">transition mechanism that would utilize ERCOT’s existing reliability must-run (RMR) </w:t>
      </w:r>
      <w:r w:rsidR="00BB7E6D">
        <w:t xml:space="preserve">to manage retirements </w:t>
      </w:r>
      <w:r w:rsidR="003D4CC7">
        <w:t xml:space="preserve">on a temporary basis </w:t>
      </w:r>
      <w:r w:rsidR="007D1CCE">
        <w:t xml:space="preserve">if </w:t>
      </w:r>
      <w:r w:rsidR="003D4CC7">
        <w:t xml:space="preserve">they present a problem for reliability. </w:t>
      </w:r>
    </w:p>
    <w:p w14:paraId="05045CD0" w14:textId="45B00F67" w:rsidR="00EF4A86" w:rsidRDefault="00EF4A86" w:rsidP="00362A8F">
      <w:pPr>
        <w:pStyle w:val="NormalWeb"/>
        <w:numPr>
          <w:ilvl w:val="0"/>
          <w:numId w:val="7"/>
        </w:numPr>
        <w:spacing w:before="0" w:beforeAutospacing="0" w:after="0" w:afterAutospacing="0" w:line="480" w:lineRule="auto"/>
        <w:jc w:val="both"/>
        <w:rPr>
          <w:b/>
          <w:bCs/>
        </w:rPr>
      </w:pPr>
      <w:r w:rsidRPr="00822650">
        <w:rPr>
          <w:b/>
          <w:bCs/>
        </w:rPr>
        <w:t xml:space="preserve">Response to Commission Questions </w:t>
      </w:r>
    </w:p>
    <w:p w14:paraId="70932BF2" w14:textId="551E873E" w:rsidR="000B410F" w:rsidRPr="00C2312A" w:rsidRDefault="000B410F" w:rsidP="00A37A4F">
      <w:pPr>
        <w:pStyle w:val="NormalWeb"/>
        <w:spacing w:before="0" w:beforeAutospacing="0" w:after="0" w:afterAutospacing="0" w:line="480" w:lineRule="auto"/>
        <w:jc w:val="both"/>
      </w:pPr>
      <w:r w:rsidRPr="00C2312A">
        <w:t xml:space="preserve">Pine Gate </w:t>
      </w:r>
      <w:r w:rsidR="00C90C88" w:rsidRPr="00C2312A">
        <w:t xml:space="preserve">generally </w:t>
      </w:r>
      <w:r w:rsidRPr="00C2312A">
        <w:t xml:space="preserve">supports the comments filed </w:t>
      </w:r>
      <w:r w:rsidR="00C90C88" w:rsidRPr="00C2312A">
        <w:t xml:space="preserve">by the DRRS Coalition, </w:t>
      </w:r>
      <w:r w:rsidR="00764164" w:rsidRPr="008B5393">
        <w:t>Texas Solar Power Association (TSPA) and Solar Energy Industries Association (SEIA)</w:t>
      </w:r>
      <w:r w:rsidR="00764164">
        <w:t xml:space="preserve"> (Solar Associations)</w:t>
      </w:r>
      <w:r w:rsidR="00C90C88" w:rsidRPr="00C2312A">
        <w:t xml:space="preserve">, and </w:t>
      </w:r>
      <w:r w:rsidR="00F11A7F">
        <w:t>the Advanced Power Alliance (APA</w:t>
      </w:r>
      <w:r w:rsidR="00437104">
        <w:t>) and American Clean Power Association (ACP)</w:t>
      </w:r>
      <w:r w:rsidR="00C90C88" w:rsidRPr="00C2312A">
        <w:t xml:space="preserve">. </w:t>
      </w:r>
      <w:r w:rsidR="00363181" w:rsidRPr="00C2312A">
        <w:t xml:space="preserve">Below, Pine Gate responds to </w:t>
      </w:r>
      <w:r w:rsidR="00D4747E" w:rsidRPr="00C2312A">
        <w:t xml:space="preserve">certain of the Commission questions where Pine Gate wishes to </w:t>
      </w:r>
      <w:r w:rsidR="008A300C" w:rsidRPr="00C2312A">
        <w:t xml:space="preserve">supplement </w:t>
      </w:r>
      <w:r w:rsidR="003A1E7D" w:rsidRPr="00C2312A">
        <w:t xml:space="preserve">the </w:t>
      </w:r>
      <w:r w:rsidR="003D2958" w:rsidRPr="00C2312A">
        <w:t xml:space="preserve">responses made by </w:t>
      </w:r>
      <w:r w:rsidR="00A37A4F" w:rsidRPr="00C2312A">
        <w:t xml:space="preserve">those groups. </w:t>
      </w:r>
    </w:p>
    <w:p w14:paraId="394F8839" w14:textId="49D2C39B" w:rsidR="004963B8" w:rsidRPr="00A37A4F" w:rsidRDefault="00547748" w:rsidP="00547B80">
      <w:pPr>
        <w:pStyle w:val="ListParagraph"/>
        <w:numPr>
          <w:ilvl w:val="0"/>
          <w:numId w:val="17"/>
        </w:numPr>
        <w:spacing w:after="0" w:line="480" w:lineRule="auto"/>
        <w:jc w:val="both"/>
        <w:textAlignment w:val="center"/>
        <w:rPr>
          <w:rFonts w:ascii="Times New Roman" w:eastAsia="Times New Roman" w:hAnsi="Times New Roman" w:cs="Times New Roman"/>
          <w:sz w:val="24"/>
          <w:szCs w:val="24"/>
        </w:rPr>
      </w:pPr>
      <w:r w:rsidRPr="00547B80">
        <w:rPr>
          <w:rFonts w:ascii="Times New Roman" w:eastAsia="Times New Roman" w:hAnsi="Times New Roman" w:cs="Times New Roman"/>
          <w:b/>
          <w:bCs/>
          <w:sz w:val="24"/>
          <w:szCs w:val="24"/>
        </w:rPr>
        <w:t xml:space="preserve">The E3’s </w:t>
      </w:r>
      <w:r w:rsidRPr="00C81B73">
        <w:rPr>
          <w:rFonts w:ascii="Times New Roman" w:eastAsia="Times New Roman" w:hAnsi="Times New Roman" w:cs="Times New Roman"/>
          <w:b/>
          <w:bCs/>
          <w:sz w:val="24"/>
          <w:szCs w:val="24"/>
        </w:rPr>
        <w:t>report observes that the PCM has no prior precedent for implementation, does this fact present a significant obstacle to its operation for the ERCOT market?</w:t>
      </w:r>
    </w:p>
    <w:p w14:paraId="2B9A34E5" w14:textId="04B10ADD" w:rsidR="00AF3A24" w:rsidRPr="00C2312A" w:rsidRDefault="00BD6E35" w:rsidP="00771F83">
      <w:pPr>
        <w:spacing w:after="0" w:line="480" w:lineRule="auto"/>
        <w:ind w:firstLine="720"/>
        <w:jc w:val="both"/>
        <w:textAlignment w:val="center"/>
        <w:rPr>
          <w:rFonts w:ascii="Times New Roman" w:eastAsia="Times New Roman" w:hAnsi="Times New Roman" w:cs="Times New Roman"/>
          <w:sz w:val="24"/>
          <w:szCs w:val="24"/>
        </w:rPr>
      </w:pPr>
      <w:r w:rsidRPr="00C2312A">
        <w:rPr>
          <w:rFonts w:ascii="Times New Roman" w:eastAsia="Times New Roman" w:hAnsi="Times New Roman" w:cs="Times New Roman"/>
          <w:sz w:val="24"/>
          <w:szCs w:val="24"/>
        </w:rPr>
        <w:t xml:space="preserve">Many design details will </w:t>
      </w:r>
      <w:r w:rsidR="005D014B" w:rsidRPr="00C2312A">
        <w:rPr>
          <w:rFonts w:ascii="Times New Roman" w:eastAsia="Times New Roman" w:hAnsi="Times New Roman" w:cs="Times New Roman"/>
          <w:sz w:val="24"/>
          <w:szCs w:val="24"/>
        </w:rPr>
        <w:t xml:space="preserve">need to be developed and finalized before the PCM design </w:t>
      </w:r>
      <w:r w:rsidR="000E4593" w:rsidRPr="00C2312A">
        <w:rPr>
          <w:rFonts w:ascii="Times New Roman" w:eastAsia="Times New Roman" w:hAnsi="Times New Roman" w:cs="Times New Roman"/>
          <w:sz w:val="24"/>
          <w:szCs w:val="24"/>
        </w:rPr>
        <w:t xml:space="preserve">can be implemented in ERCOT. </w:t>
      </w:r>
      <w:r w:rsidR="00337553" w:rsidRPr="00C2312A">
        <w:rPr>
          <w:rFonts w:ascii="Times New Roman" w:eastAsia="Times New Roman" w:hAnsi="Times New Roman" w:cs="Times New Roman"/>
          <w:sz w:val="24"/>
          <w:szCs w:val="24"/>
        </w:rPr>
        <w:t xml:space="preserve">The fact that </w:t>
      </w:r>
      <w:r w:rsidR="00072620" w:rsidRPr="00C2312A">
        <w:rPr>
          <w:rFonts w:ascii="Times New Roman" w:eastAsia="Times New Roman" w:hAnsi="Times New Roman" w:cs="Times New Roman"/>
          <w:sz w:val="24"/>
          <w:szCs w:val="24"/>
        </w:rPr>
        <w:t xml:space="preserve">the </w:t>
      </w:r>
      <w:r w:rsidR="00337553" w:rsidRPr="00C2312A">
        <w:rPr>
          <w:rFonts w:ascii="Times New Roman" w:eastAsia="Times New Roman" w:hAnsi="Times New Roman" w:cs="Times New Roman"/>
          <w:sz w:val="24"/>
          <w:szCs w:val="24"/>
        </w:rPr>
        <w:t xml:space="preserve">PCM design </w:t>
      </w:r>
      <w:r w:rsidR="00072620" w:rsidRPr="00C2312A">
        <w:rPr>
          <w:rFonts w:ascii="Times New Roman" w:eastAsia="Times New Roman" w:hAnsi="Times New Roman" w:cs="Times New Roman"/>
          <w:sz w:val="24"/>
          <w:szCs w:val="24"/>
        </w:rPr>
        <w:t xml:space="preserve">is entirely novel </w:t>
      </w:r>
      <w:r w:rsidR="00FF5F44" w:rsidRPr="00C2312A">
        <w:rPr>
          <w:rFonts w:ascii="Times New Roman" w:eastAsia="Times New Roman" w:hAnsi="Times New Roman" w:cs="Times New Roman"/>
          <w:sz w:val="24"/>
          <w:szCs w:val="24"/>
        </w:rPr>
        <w:t xml:space="preserve">will require the Commission to </w:t>
      </w:r>
      <w:r w:rsidR="00AF3A24" w:rsidRPr="00C2312A">
        <w:rPr>
          <w:rFonts w:ascii="Times New Roman" w:eastAsia="Times New Roman" w:hAnsi="Times New Roman" w:cs="Times New Roman"/>
          <w:sz w:val="24"/>
          <w:szCs w:val="24"/>
        </w:rPr>
        <w:t xml:space="preserve">develop this design without reference to the experience </w:t>
      </w:r>
      <w:r w:rsidR="006A5763" w:rsidRPr="00C2312A">
        <w:rPr>
          <w:rFonts w:ascii="Times New Roman" w:eastAsia="Times New Roman" w:hAnsi="Times New Roman" w:cs="Times New Roman"/>
          <w:sz w:val="24"/>
          <w:szCs w:val="24"/>
        </w:rPr>
        <w:t>in</w:t>
      </w:r>
      <w:r w:rsidR="00AF3A24" w:rsidRPr="00C2312A">
        <w:rPr>
          <w:rFonts w:ascii="Times New Roman" w:eastAsia="Times New Roman" w:hAnsi="Times New Roman" w:cs="Times New Roman"/>
          <w:sz w:val="24"/>
          <w:szCs w:val="24"/>
        </w:rPr>
        <w:t xml:space="preserve"> other markets or regions. </w:t>
      </w:r>
      <w:r w:rsidR="00D20DDE" w:rsidRPr="00C2312A">
        <w:rPr>
          <w:rFonts w:ascii="Times New Roman" w:eastAsia="Times New Roman" w:hAnsi="Times New Roman" w:cs="Times New Roman"/>
          <w:sz w:val="24"/>
          <w:szCs w:val="24"/>
        </w:rPr>
        <w:t xml:space="preserve">While this is not an insurmountable obstacle, it will require a significant amount of time </w:t>
      </w:r>
      <w:r w:rsidR="001B17C3" w:rsidRPr="00C2312A">
        <w:rPr>
          <w:rFonts w:ascii="Times New Roman" w:eastAsia="Times New Roman" w:hAnsi="Times New Roman" w:cs="Times New Roman"/>
          <w:sz w:val="24"/>
          <w:szCs w:val="24"/>
        </w:rPr>
        <w:t>for analysis</w:t>
      </w:r>
      <w:r w:rsidR="00626636" w:rsidRPr="00C2312A">
        <w:rPr>
          <w:rFonts w:ascii="Times New Roman" w:eastAsia="Times New Roman" w:hAnsi="Times New Roman" w:cs="Times New Roman"/>
          <w:sz w:val="24"/>
          <w:szCs w:val="24"/>
        </w:rPr>
        <w:t xml:space="preserve"> and </w:t>
      </w:r>
      <w:r w:rsidR="002E734C" w:rsidRPr="00C2312A">
        <w:rPr>
          <w:rFonts w:ascii="Times New Roman" w:eastAsia="Times New Roman" w:hAnsi="Times New Roman" w:cs="Times New Roman"/>
          <w:sz w:val="24"/>
          <w:szCs w:val="24"/>
        </w:rPr>
        <w:t xml:space="preserve">feedback </w:t>
      </w:r>
      <w:r w:rsidR="006F2952" w:rsidRPr="00C2312A">
        <w:rPr>
          <w:rFonts w:ascii="Times New Roman" w:eastAsia="Times New Roman" w:hAnsi="Times New Roman" w:cs="Times New Roman"/>
          <w:sz w:val="24"/>
          <w:szCs w:val="24"/>
        </w:rPr>
        <w:t xml:space="preserve">on the framework </w:t>
      </w:r>
      <w:r w:rsidR="006A5763" w:rsidRPr="00C2312A">
        <w:rPr>
          <w:rFonts w:ascii="Times New Roman" w:eastAsia="Times New Roman" w:hAnsi="Times New Roman" w:cs="Times New Roman"/>
          <w:sz w:val="24"/>
          <w:szCs w:val="24"/>
        </w:rPr>
        <w:t xml:space="preserve">of </w:t>
      </w:r>
      <w:r w:rsidR="006F2952" w:rsidRPr="00C2312A">
        <w:rPr>
          <w:rFonts w:ascii="Times New Roman" w:eastAsia="Times New Roman" w:hAnsi="Times New Roman" w:cs="Times New Roman"/>
          <w:sz w:val="24"/>
          <w:szCs w:val="24"/>
        </w:rPr>
        <w:t xml:space="preserve">the design and further analysis, </w:t>
      </w:r>
      <w:r w:rsidR="00E03C3B" w:rsidRPr="00C2312A">
        <w:rPr>
          <w:rFonts w:ascii="Times New Roman" w:eastAsia="Times New Roman" w:hAnsi="Times New Roman" w:cs="Times New Roman"/>
          <w:sz w:val="24"/>
          <w:szCs w:val="24"/>
        </w:rPr>
        <w:t xml:space="preserve">feedback, and decision-making before </w:t>
      </w:r>
      <w:r w:rsidR="002E734C" w:rsidRPr="00C2312A">
        <w:rPr>
          <w:rFonts w:ascii="Times New Roman" w:eastAsia="Times New Roman" w:hAnsi="Times New Roman" w:cs="Times New Roman"/>
          <w:sz w:val="24"/>
          <w:szCs w:val="24"/>
        </w:rPr>
        <w:t xml:space="preserve">final implementation. </w:t>
      </w:r>
      <w:r w:rsidR="005948A5" w:rsidRPr="00C2312A">
        <w:rPr>
          <w:rFonts w:ascii="Times New Roman" w:eastAsia="Times New Roman" w:hAnsi="Times New Roman" w:cs="Times New Roman"/>
          <w:sz w:val="24"/>
          <w:szCs w:val="24"/>
        </w:rPr>
        <w:t xml:space="preserve">According to E3’s own assessment, the PCM </w:t>
      </w:r>
      <w:r w:rsidR="00AD3579" w:rsidRPr="00C2312A">
        <w:rPr>
          <w:rFonts w:ascii="Times New Roman" w:eastAsia="Times New Roman" w:hAnsi="Times New Roman" w:cs="Times New Roman"/>
          <w:sz w:val="24"/>
          <w:szCs w:val="24"/>
        </w:rPr>
        <w:t xml:space="preserve">will require </w:t>
      </w:r>
      <w:r w:rsidR="00B43621">
        <w:rPr>
          <w:rFonts w:ascii="Times New Roman" w:eastAsia="Times New Roman" w:hAnsi="Times New Roman" w:cs="Times New Roman"/>
          <w:sz w:val="24"/>
          <w:szCs w:val="24"/>
        </w:rPr>
        <w:t xml:space="preserve">two-to-four </w:t>
      </w:r>
      <w:r w:rsidR="0006339D" w:rsidRPr="00C2312A">
        <w:rPr>
          <w:rFonts w:ascii="Times New Roman" w:eastAsia="Times New Roman" w:hAnsi="Times New Roman" w:cs="Times New Roman"/>
          <w:sz w:val="24"/>
          <w:szCs w:val="24"/>
        </w:rPr>
        <w:t xml:space="preserve">years </w:t>
      </w:r>
      <w:r w:rsidR="00F3166F" w:rsidRPr="00C2312A">
        <w:rPr>
          <w:rFonts w:ascii="Times New Roman" w:eastAsia="Times New Roman" w:hAnsi="Times New Roman" w:cs="Times New Roman"/>
          <w:sz w:val="24"/>
          <w:szCs w:val="24"/>
        </w:rPr>
        <w:t>to develop</w:t>
      </w:r>
      <w:r w:rsidR="009E7FF4" w:rsidRPr="00C2312A">
        <w:rPr>
          <w:rFonts w:ascii="Times New Roman" w:eastAsia="Times New Roman" w:hAnsi="Times New Roman" w:cs="Times New Roman"/>
          <w:sz w:val="24"/>
          <w:szCs w:val="24"/>
        </w:rPr>
        <w:t>,</w:t>
      </w:r>
      <w:r w:rsidR="00F3166F" w:rsidRPr="00C2312A">
        <w:rPr>
          <w:rFonts w:ascii="Times New Roman" w:eastAsia="Times New Roman" w:hAnsi="Times New Roman" w:cs="Times New Roman"/>
          <w:sz w:val="24"/>
          <w:szCs w:val="24"/>
        </w:rPr>
        <w:t xml:space="preserve"> </w:t>
      </w:r>
      <w:r w:rsidR="009E7FF4" w:rsidRPr="00C2312A">
        <w:rPr>
          <w:rFonts w:ascii="Times New Roman" w:eastAsia="Times New Roman" w:hAnsi="Times New Roman" w:cs="Times New Roman"/>
          <w:sz w:val="24"/>
          <w:szCs w:val="24"/>
        </w:rPr>
        <w:t xml:space="preserve">several </w:t>
      </w:r>
      <w:r w:rsidR="00F3166F" w:rsidRPr="00C2312A">
        <w:rPr>
          <w:rFonts w:ascii="Times New Roman" w:eastAsia="Times New Roman" w:hAnsi="Times New Roman" w:cs="Times New Roman"/>
          <w:sz w:val="24"/>
          <w:szCs w:val="24"/>
        </w:rPr>
        <w:t>additional years to implement</w:t>
      </w:r>
      <w:r w:rsidR="009E7FF4" w:rsidRPr="00C2312A">
        <w:rPr>
          <w:rFonts w:ascii="Times New Roman" w:eastAsia="Times New Roman" w:hAnsi="Times New Roman" w:cs="Times New Roman"/>
          <w:sz w:val="24"/>
          <w:szCs w:val="24"/>
        </w:rPr>
        <w:t xml:space="preserve">, and </w:t>
      </w:r>
      <w:r w:rsidR="00654C78" w:rsidRPr="00C2312A">
        <w:rPr>
          <w:rFonts w:ascii="Times New Roman" w:eastAsia="Times New Roman" w:hAnsi="Times New Roman" w:cs="Times New Roman"/>
          <w:sz w:val="24"/>
          <w:szCs w:val="24"/>
        </w:rPr>
        <w:t xml:space="preserve">only then will </w:t>
      </w:r>
      <w:r w:rsidR="00F3166F" w:rsidRPr="00C2312A">
        <w:rPr>
          <w:rFonts w:ascii="Times New Roman" w:eastAsia="Times New Roman" w:hAnsi="Times New Roman" w:cs="Times New Roman"/>
          <w:sz w:val="24"/>
          <w:szCs w:val="24"/>
        </w:rPr>
        <w:t xml:space="preserve">the market </w:t>
      </w:r>
      <w:r w:rsidR="00654C78" w:rsidRPr="00C2312A">
        <w:rPr>
          <w:rFonts w:ascii="Times New Roman" w:eastAsia="Times New Roman" w:hAnsi="Times New Roman" w:cs="Times New Roman"/>
          <w:sz w:val="24"/>
          <w:szCs w:val="24"/>
        </w:rPr>
        <w:t xml:space="preserve">begin to </w:t>
      </w:r>
      <w:r w:rsidR="00F3166F" w:rsidRPr="00C2312A">
        <w:rPr>
          <w:rFonts w:ascii="Times New Roman" w:eastAsia="Times New Roman" w:hAnsi="Times New Roman" w:cs="Times New Roman"/>
          <w:sz w:val="24"/>
          <w:szCs w:val="24"/>
        </w:rPr>
        <w:t>respond.</w:t>
      </w:r>
      <w:r w:rsidR="002824EC" w:rsidRPr="00C81B73">
        <w:rPr>
          <w:rStyle w:val="FootnoteReference"/>
          <w:rFonts w:ascii="Times New Roman" w:eastAsia="Times New Roman" w:hAnsi="Times New Roman" w:cs="Times New Roman"/>
          <w:sz w:val="24"/>
          <w:szCs w:val="24"/>
        </w:rPr>
        <w:footnoteReference w:id="24"/>
      </w:r>
      <w:r w:rsidR="00F3166F" w:rsidRPr="00C2312A">
        <w:rPr>
          <w:rFonts w:ascii="Times New Roman" w:eastAsia="Times New Roman" w:hAnsi="Times New Roman" w:cs="Times New Roman"/>
          <w:sz w:val="24"/>
          <w:szCs w:val="24"/>
        </w:rPr>
        <w:t xml:space="preserve"> </w:t>
      </w:r>
      <w:r w:rsidR="004F33F8" w:rsidRPr="00C2312A">
        <w:rPr>
          <w:rFonts w:ascii="Times New Roman" w:eastAsia="Times New Roman" w:hAnsi="Times New Roman" w:cs="Times New Roman"/>
          <w:sz w:val="24"/>
          <w:szCs w:val="24"/>
        </w:rPr>
        <w:t>If the Commission seeks to</w:t>
      </w:r>
      <w:r w:rsidR="00815FED" w:rsidRPr="00C2312A">
        <w:rPr>
          <w:rFonts w:ascii="Times New Roman" w:eastAsia="Times New Roman" w:hAnsi="Times New Roman" w:cs="Times New Roman"/>
          <w:sz w:val="24"/>
          <w:szCs w:val="24"/>
        </w:rPr>
        <w:t xml:space="preserve"> implement </w:t>
      </w:r>
      <w:r w:rsidR="000D3B72" w:rsidRPr="00C2312A">
        <w:rPr>
          <w:rFonts w:ascii="Times New Roman" w:eastAsia="Times New Roman" w:hAnsi="Times New Roman" w:cs="Times New Roman"/>
          <w:sz w:val="24"/>
          <w:szCs w:val="24"/>
        </w:rPr>
        <w:t xml:space="preserve">a design that </w:t>
      </w:r>
      <w:r w:rsidR="00D73A72" w:rsidRPr="00C2312A">
        <w:rPr>
          <w:rFonts w:ascii="Times New Roman" w:eastAsia="Times New Roman" w:hAnsi="Times New Roman" w:cs="Times New Roman"/>
          <w:sz w:val="24"/>
          <w:szCs w:val="24"/>
        </w:rPr>
        <w:t xml:space="preserve">addresses the reliability challenges that ERCOT faces today, </w:t>
      </w:r>
      <w:r w:rsidR="000D3B72" w:rsidRPr="00C2312A">
        <w:rPr>
          <w:rFonts w:ascii="Times New Roman" w:eastAsia="Times New Roman" w:hAnsi="Times New Roman" w:cs="Times New Roman"/>
          <w:sz w:val="24"/>
          <w:szCs w:val="24"/>
        </w:rPr>
        <w:t>the PCM would not be the best choice</w:t>
      </w:r>
      <w:r w:rsidR="00964902" w:rsidRPr="00C2312A">
        <w:rPr>
          <w:rFonts w:ascii="Times New Roman" w:eastAsia="Times New Roman" w:hAnsi="Times New Roman" w:cs="Times New Roman"/>
          <w:sz w:val="24"/>
          <w:szCs w:val="24"/>
        </w:rPr>
        <w:t xml:space="preserve"> because it would not be implemented until many years in the future when </w:t>
      </w:r>
      <w:r w:rsidR="009A43E8" w:rsidRPr="00C2312A">
        <w:rPr>
          <w:rFonts w:ascii="Times New Roman" w:eastAsia="Times New Roman" w:hAnsi="Times New Roman" w:cs="Times New Roman"/>
          <w:sz w:val="24"/>
          <w:szCs w:val="24"/>
        </w:rPr>
        <w:t>the ERCOT grid may look very different than it does today.</w:t>
      </w:r>
    </w:p>
    <w:p w14:paraId="1CFE16B4" w14:textId="08B3FF79" w:rsidR="00D619D6" w:rsidRPr="00C2312A" w:rsidRDefault="004F33F8" w:rsidP="00C2312A">
      <w:pPr>
        <w:spacing w:after="0" w:line="480" w:lineRule="auto"/>
        <w:ind w:firstLine="720"/>
        <w:jc w:val="both"/>
        <w:textAlignment w:val="center"/>
        <w:rPr>
          <w:rFonts w:ascii="Times New Roman" w:eastAsia="Times New Roman" w:hAnsi="Times New Roman" w:cs="Times New Roman"/>
          <w:sz w:val="24"/>
          <w:szCs w:val="24"/>
        </w:rPr>
      </w:pPr>
      <w:r w:rsidRPr="00C2312A">
        <w:rPr>
          <w:rFonts w:ascii="Times New Roman" w:eastAsia="Times New Roman" w:hAnsi="Times New Roman" w:cs="Times New Roman"/>
          <w:sz w:val="24"/>
          <w:szCs w:val="24"/>
        </w:rPr>
        <w:t>In addition</w:t>
      </w:r>
      <w:r w:rsidR="00FF43A3" w:rsidRPr="00C2312A">
        <w:rPr>
          <w:rFonts w:ascii="Times New Roman" w:eastAsia="Times New Roman" w:hAnsi="Times New Roman" w:cs="Times New Roman"/>
          <w:sz w:val="24"/>
          <w:szCs w:val="24"/>
        </w:rPr>
        <w:t xml:space="preserve">, the lack of precedent for the PCM </w:t>
      </w:r>
      <w:r w:rsidR="0098116F" w:rsidRPr="00C2312A">
        <w:rPr>
          <w:rFonts w:ascii="Times New Roman" w:eastAsia="Times New Roman" w:hAnsi="Times New Roman" w:cs="Times New Roman"/>
          <w:sz w:val="24"/>
          <w:szCs w:val="24"/>
        </w:rPr>
        <w:t xml:space="preserve">compounds the uncertainty already inherent in the market design’s </w:t>
      </w:r>
      <w:r w:rsidR="00C26F1A" w:rsidRPr="00C2312A">
        <w:rPr>
          <w:rFonts w:ascii="Times New Roman" w:eastAsia="Times New Roman" w:hAnsi="Times New Roman" w:cs="Times New Roman"/>
          <w:sz w:val="24"/>
          <w:szCs w:val="24"/>
        </w:rPr>
        <w:t>approach to setting performance credit hours.</w:t>
      </w:r>
      <w:r w:rsidR="009536F4" w:rsidRPr="00C2312A">
        <w:rPr>
          <w:rFonts w:ascii="Times New Roman" w:eastAsia="Times New Roman" w:hAnsi="Times New Roman" w:cs="Times New Roman"/>
          <w:sz w:val="24"/>
          <w:szCs w:val="24"/>
        </w:rPr>
        <w:t xml:space="preserve">  </w:t>
      </w:r>
      <w:r w:rsidR="00E07230" w:rsidRPr="00C2312A">
        <w:rPr>
          <w:rFonts w:ascii="Times New Roman" w:eastAsia="Times New Roman" w:hAnsi="Times New Roman" w:cs="Times New Roman"/>
          <w:sz w:val="24"/>
          <w:szCs w:val="24"/>
        </w:rPr>
        <w:t xml:space="preserve">Before building new </w:t>
      </w:r>
      <w:r w:rsidR="000930A2" w:rsidRPr="00C2312A">
        <w:rPr>
          <w:rFonts w:ascii="Times New Roman" w:eastAsia="Times New Roman" w:hAnsi="Times New Roman" w:cs="Times New Roman"/>
          <w:sz w:val="24"/>
          <w:szCs w:val="24"/>
        </w:rPr>
        <w:t>capacity</w:t>
      </w:r>
      <w:r w:rsidR="00E07230" w:rsidRPr="00C2312A">
        <w:rPr>
          <w:rFonts w:ascii="Times New Roman" w:eastAsia="Times New Roman" w:hAnsi="Times New Roman" w:cs="Times New Roman"/>
          <w:sz w:val="24"/>
          <w:szCs w:val="24"/>
        </w:rPr>
        <w:t xml:space="preserve">, project developers must secure financing </w:t>
      </w:r>
      <w:r w:rsidR="00584FFD" w:rsidRPr="00C2312A">
        <w:rPr>
          <w:rFonts w:ascii="Times New Roman" w:eastAsia="Times New Roman" w:hAnsi="Times New Roman" w:cs="Times New Roman"/>
          <w:sz w:val="24"/>
          <w:szCs w:val="24"/>
        </w:rPr>
        <w:t xml:space="preserve">from investors. </w:t>
      </w:r>
      <w:r w:rsidR="00DE77CF" w:rsidRPr="00C2312A">
        <w:rPr>
          <w:rFonts w:ascii="Times New Roman" w:eastAsia="Times New Roman" w:hAnsi="Times New Roman" w:cs="Times New Roman"/>
          <w:sz w:val="24"/>
          <w:szCs w:val="24"/>
        </w:rPr>
        <w:t xml:space="preserve">These investors will look at potential future revenue streams when making </w:t>
      </w:r>
      <w:r w:rsidR="51D817EA" w:rsidRPr="00C2312A">
        <w:rPr>
          <w:rFonts w:ascii="Times New Roman" w:eastAsia="Times New Roman" w:hAnsi="Times New Roman" w:cs="Times New Roman"/>
          <w:sz w:val="24"/>
          <w:szCs w:val="24"/>
        </w:rPr>
        <w:t>decision</w:t>
      </w:r>
      <w:r w:rsidR="2521EDDF" w:rsidRPr="2C1CFFEF">
        <w:rPr>
          <w:rFonts w:ascii="Times New Roman" w:eastAsia="Times New Roman" w:hAnsi="Times New Roman" w:cs="Times New Roman"/>
          <w:sz w:val="24"/>
          <w:szCs w:val="24"/>
        </w:rPr>
        <w:t>s</w:t>
      </w:r>
      <w:r w:rsidR="00DE77CF" w:rsidRPr="00C2312A">
        <w:rPr>
          <w:rFonts w:ascii="Times New Roman" w:eastAsia="Times New Roman" w:hAnsi="Times New Roman" w:cs="Times New Roman"/>
          <w:sz w:val="24"/>
          <w:szCs w:val="24"/>
        </w:rPr>
        <w:t xml:space="preserve"> on </w:t>
      </w:r>
      <w:r w:rsidR="00DE3A61" w:rsidRPr="00C2312A">
        <w:rPr>
          <w:rFonts w:ascii="Times New Roman" w:eastAsia="Times New Roman" w:hAnsi="Times New Roman" w:cs="Times New Roman"/>
          <w:sz w:val="24"/>
          <w:szCs w:val="24"/>
        </w:rPr>
        <w:t>whether to finance a particular project</w:t>
      </w:r>
      <w:r w:rsidR="000930A2" w:rsidRPr="00C2312A">
        <w:rPr>
          <w:rFonts w:ascii="Times New Roman" w:eastAsia="Times New Roman" w:hAnsi="Times New Roman" w:cs="Times New Roman"/>
          <w:sz w:val="24"/>
          <w:szCs w:val="24"/>
        </w:rPr>
        <w:t xml:space="preserve">. Not all future revenue streams are treated equally; revenue streams that are </w:t>
      </w:r>
      <w:r w:rsidR="009833C2" w:rsidRPr="00C2312A">
        <w:rPr>
          <w:rFonts w:ascii="Times New Roman" w:eastAsia="Times New Roman" w:hAnsi="Times New Roman" w:cs="Times New Roman"/>
          <w:sz w:val="24"/>
          <w:szCs w:val="24"/>
        </w:rPr>
        <w:t xml:space="preserve">uncertain </w:t>
      </w:r>
      <w:r w:rsidR="00E07CB4" w:rsidRPr="00C2312A">
        <w:rPr>
          <w:rFonts w:ascii="Times New Roman" w:eastAsia="Times New Roman" w:hAnsi="Times New Roman" w:cs="Times New Roman"/>
          <w:sz w:val="24"/>
          <w:szCs w:val="24"/>
        </w:rPr>
        <w:t xml:space="preserve">are discounted at a higher rate than revenues </w:t>
      </w:r>
      <w:r w:rsidR="00AC2411" w:rsidRPr="00C2312A">
        <w:rPr>
          <w:rFonts w:ascii="Times New Roman" w:eastAsia="Times New Roman" w:hAnsi="Times New Roman" w:cs="Times New Roman"/>
          <w:sz w:val="24"/>
          <w:szCs w:val="24"/>
        </w:rPr>
        <w:t xml:space="preserve">that </w:t>
      </w:r>
      <w:r w:rsidR="00B87980" w:rsidRPr="00C2312A">
        <w:rPr>
          <w:rFonts w:ascii="Times New Roman" w:eastAsia="Times New Roman" w:hAnsi="Times New Roman" w:cs="Times New Roman"/>
          <w:sz w:val="24"/>
          <w:szCs w:val="24"/>
        </w:rPr>
        <w:t xml:space="preserve">are </w:t>
      </w:r>
      <w:r w:rsidR="00075362" w:rsidRPr="00C2312A">
        <w:rPr>
          <w:rFonts w:ascii="Times New Roman" w:eastAsia="Times New Roman" w:hAnsi="Times New Roman" w:cs="Times New Roman"/>
          <w:sz w:val="24"/>
          <w:szCs w:val="24"/>
        </w:rPr>
        <w:t xml:space="preserve">certain. </w:t>
      </w:r>
      <w:r w:rsidR="009F0DC3" w:rsidRPr="00C2312A">
        <w:rPr>
          <w:rFonts w:ascii="Times New Roman" w:eastAsia="Times New Roman" w:hAnsi="Times New Roman" w:cs="Times New Roman"/>
          <w:sz w:val="24"/>
          <w:szCs w:val="24"/>
        </w:rPr>
        <w:t xml:space="preserve">The fact that no one knows how the </w:t>
      </w:r>
      <w:r w:rsidR="00EE75FC" w:rsidRPr="00C2312A">
        <w:rPr>
          <w:rFonts w:ascii="Times New Roman" w:eastAsia="Times New Roman" w:hAnsi="Times New Roman" w:cs="Times New Roman"/>
          <w:sz w:val="24"/>
          <w:szCs w:val="24"/>
        </w:rPr>
        <w:t xml:space="preserve">market participants will behave under a PCM construct will </w:t>
      </w:r>
      <w:r w:rsidR="00AD1F25" w:rsidRPr="00C2312A">
        <w:rPr>
          <w:rFonts w:ascii="Times New Roman" w:eastAsia="Times New Roman" w:hAnsi="Times New Roman" w:cs="Times New Roman"/>
          <w:sz w:val="24"/>
          <w:szCs w:val="24"/>
        </w:rPr>
        <w:t xml:space="preserve">add to the uncertainty </w:t>
      </w:r>
      <w:r w:rsidR="00AF4D61" w:rsidRPr="00C2312A">
        <w:rPr>
          <w:rFonts w:ascii="Times New Roman" w:eastAsia="Times New Roman" w:hAnsi="Times New Roman" w:cs="Times New Roman"/>
          <w:sz w:val="24"/>
          <w:szCs w:val="24"/>
        </w:rPr>
        <w:t xml:space="preserve">of future performance credit hours, which may dampen the signal to invest in new generation that the PCM is intended to send. </w:t>
      </w:r>
    </w:p>
    <w:p w14:paraId="430D6990" w14:textId="03BAD048" w:rsidR="00547748" w:rsidRPr="00C2312A" w:rsidRDefault="00547748" w:rsidP="00547B80">
      <w:pPr>
        <w:numPr>
          <w:ilvl w:val="0"/>
          <w:numId w:val="17"/>
        </w:numPr>
        <w:spacing w:after="0" w:line="480" w:lineRule="auto"/>
        <w:jc w:val="both"/>
        <w:textAlignment w:val="center"/>
        <w:rPr>
          <w:rFonts w:ascii="Times New Roman" w:eastAsia="Times New Roman" w:hAnsi="Times New Roman" w:cs="Times New Roman"/>
          <w:b/>
          <w:bCs/>
          <w:sz w:val="24"/>
          <w:szCs w:val="24"/>
        </w:rPr>
      </w:pPr>
      <w:r w:rsidRPr="00C81B73">
        <w:rPr>
          <w:rFonts w:ascii="Times New Roman" w:eastAsia="Times New Roman" w:hAnsi="Times New Roman" w:cs="Times New Roman"/>
          <w:b/>
          <w:bCs/>
          <w:sz w:val="24"/>
          <w:szCs w:val="24"/>
        </w:rPr>
        <w:t>Would the PCM design incentivize generation performance, retention, and market entry consistent with the Legislature’s and the commission’s goal to meet demand during times of net peak load and extreme power consumption conditions</w:t>
      </w:r>
      <w:bookmarkStart w:id="4" w:name="_Int_zHRmsu11"/>
      <w:r w:rsidR="78B3062D" w:rsidRPr="00C81B73">
        <w:rPr>
          <w:rFonts w:ascii="Times New Roman" w:eastAsia="Times New Roman" w:hAnsi="Times New Roman" w:cs="Times New Roman"/>
          <w:b/>
          <w:bCs/>
          <w:sz w:val="24"/>
          <w:szCs w:val="24"/>
        </w:rPr>
        <w:t xml:space="preserve">? </w:t>
      </w:r>
      <w:bookmarkEnd w:id="4"/>
      <w:r w:rsidRPr="00C81B73">
        <w:rPr>
          <w:rFonts w:ascii="Times New Roman" w:eastAsia="Times New Roman" w:hAnsi="Times New Roman" w:cs="Times New Roman"/>
          <w:b/>
          <w:bCs/>
          <w:sz w:val="24"/>
          <w:szCs w:val="24"/>
        </w:rPr>
        <w:t xml:space="preserve">Why or why not? </w:t>
      </w:r>
    </w:p>
    <w:p w14:paraId="478DACB8" w14:textId="19769138" w:rsidR="00F45111" w:rsidRPr="00C2312A" w:rsidRDefault="00B77F90" w:rsidP="00362A8F">
      <w:pPr>
        <w:spacing w:line="480" w:lineRule="auto"/>
        <w:ind w:firstLine="720"/>
        <w:jc w:val="both"/>
        <w:rPr>
          <w:rFonts w:ascii="Times New Roman" w:eastAsia="Times New Roman" w:hAnsi="Times New Roman" w:cs="Times New Roman"/>
          <w:sz w:val="24"/>
          <w:szCs w:val="24"/>
        </w:rPr>
      </w:pPr>
      <w:r w:rsidRPr="00C2312A">
        <w:rPr>
          <w:rFonts w:ascii="Times New Roman" w:eastAsia="Times New Roman" w:hAnsi="Times New Roman" w:cs="Times New Roman"/>
          <w:sz w:val="24"/>
          <w:szCs w:val="24"/>
        </w:rPr>
        <w:t xml:space="preserve">As discussed above, ERCOT’s existing energy-only market already attracts significant investment </w:t>
      </w:r>
      <w:r w:rsidR="006415BB" w:rsidRPr="00C2312A">
        <w:rPr>
          <w:rFonts w:ascii="Times New Roman" w:eastAsia="Times New Roman" w:hAnsi="Times New Roman" w:cs="Times New Roman"/>
          <w:sz w:val="24"/>
          <w:szCs w:val="24"/>
        </w:rPr>
        <w:t xml:space="preserve">in new dispatchable generation and provides sufficient revenues to retain existing dispatchable </w:t>
      </w:r>
      <w:r w:rsidR="00717C4D" w:rsidRPr="00C2312A">
        <w:rPr>
          <w:rFonts w:ascii="Times New Roman" w:eastAsia="Times New Roman" w:hAnsi="Times New Roman" w:cs="Times New Roman"/>
          <w:sz w:val="24"/>
          <w:szCs w:val="24"/>
        </w:rPr>
        <w:t>capacity</w:t>
      </w:r>
      <w:r w:rsidR="006415BB" w:rsidRPr="00C2312A">
        <w:rPr>
          <w:rFonts w:ascii="Times New Roman" w:eastAsia="Times New Roman" w:hAnsi="Times New Roman" w:cs="Times New Roman"/>
          <w:sz w:val="24"/>
          <w:szCs w:val="24"/>
        </w:rPr>
        <w:t xml:space="preserve">. </w:t>
      </w:r>
      <w:r w:rsidR="00627AEE" w:rsidRPr="00C2312A">
        <w:rPr>
          <w:rFonts w:ascii="Times New Roman" w:eastAsia="Times New Roman" w:hAnsi="Times New Roman" w:cs="Times New Roman"/>
          <w:sz w:val="24"/>
          <w:szCs w:val="24"/>
        </w:rPr>
        <w:t xml:space="preserve">Recent changes to the ORDC, ancillary services products, and ERCOT’s conservative operations have provided even more </w:t>
      </w:r>
      <w:r w:rsidR="002B4B13" w:rsidRPr="00C2312A">
        <w:rPr>
          <w:rFonts w:ascii="Times New Roman" w:eastAsia="Times New Roman" w:hAnsi="Times New Roman" w:cs="Times New Roman"/>
          <w:sz w:val="24"/>
          <w:szCs w:val="24"/>
        </w:rPr>
        <w:t xml:space="preserve">revenue opportunities for dispatchable generation. </w:t>
      </w:r>
      <w:r w:rsidR="00F26061" w:rsidRPr="00C2312A">
        <w:rPr>
          <w:rFonts w:ascii="Times New Roman" w:eastAsia="Times New Roman" w:hAnsi="Times New Roman" w:cs="Times New Roman"/>
          <w:sz w:val="24"/>
          <w:szCs w:val="24"/>
        </w:rPr>
        <w:t>While t</w:t>
      </w:r>
      <w:r w:rsidR="00F45111" w:rsidRPr="00C2312A">
        <w:rPr>
          <w:rFonts w:ascii="Times New Roman" w:eastAsia="Times New Roman" w:hAnsi="Times New Roman" w:cs="Times New Roman"/>
          <w:sz w:val="24"/>
          <w:szCs w:val="24"/>
        </w:rPr>
        <w:t>he PCM design would provide additional revenue streams</w:t>
      </w:r>
      <w:r w:rsidR="00F26061" w:rsidRPr="00C2312A">
        <w:rPr>
          <w:rFonts w:ascii="Times New Roman" w:eastAsia="Times New Roman" w:hAnsi="Times New Roman" w:cs="Times New Roman"/>
          <w:sz w:val="24"/>
          <w:szCs w:val="24"/>
        </w:rPr>
        <w:t xml:space="preserve">, </w:t>
      </w:r>
      <w:r w:rsidR="00F45111" w:rsidRPr="00C2312A">
        <w:rPr>
          <w:rFonts w:ascii="Times New Roman" w:eastAsia="Times New Roman" w:hAnsi="Times New Roman" w:cs="Times New Roman"/>
          <w:sz w:val="24"/>
          <w:szCs w:val="24"/>
        </w:rPr>
        <w:t>E3 has not demonstrated that those streams are needed</w:t>
      </w:r>
      <w:r w:rsidR="00EA0BCE" w:rsidRPr="00C2312A">
        <w:rPr>
          <w:rFonts w:ascii="Times New Roman" w:eastAsia="Times New Roman" w:hAnsi="Times New Roman" w:cs="Times New Roman"/>
          <w:sz w:val="24"/>
          <w:szCs w:val="24"/>
        </w:rPr>
        <w:t xml:space="preserve"> to </w:t>
      </w:r>
      <w:r w:rsidR="00F26061" w:rsidRPr="00C2312A">
        <w:rPr>
          <w:rFonts w:ascii="Times New Roman" w:eastAsia="Times New Roman" w:hAnsi="Times New Roman" w:cs="Times New Roman"/>
          <w:sz w:val="24"/>
          <w:szCs w:val="24"/>
        </w:rPr>
        <w:t xml:space="preserve">attract new capacity </w:t>
      </w:r>
      <w:r w:rsidR="00EA0BCE" w:rsidRPr="00C2312A">
        <w:rPr>
          <w:rFonts w:ascii="Times New Roman" w:eastAsia="Times New Roman" w:hAnsi="Times New Roman" w:cs="Times New Roman"/>
          <w:sz w:val="24"/>
          <w:szCs w:val="24"/>
        </w:rPr>
        <w:t>or improve</w:t>
      </w:r>
      <w:r w:rsidR="00AB1E43" w:rsidRPr="00C2312A">
        <w:rPr>
          <w:rFonts w:ascii="Times New Roman" w:eastAsia="Times New Roman" w:hAnsi="Times New Roman" w:cs="Times New Roman"/>
          <w:sz w:val="24"/>
          <w:szCs w:val="24"/>
        </w:rPr>
        <w:t xml:space="preserve"> reliability</w:t>
      </w:r>
      <w:r w:rsidR="00F45111" w:rsidRPr="00C2312A">
        <w:rPr>
          <w:rFonts w:ascii="Times New Roman" w:eastAsia="Times New Roman" w:hAnsi="Times New Roman" w:cs="Times New Roman"/>
          <w:sz w:val="24"/>
          <w:szCs w:val="24"/>
        </w:rPr>
        <w:t xml:space="preserve">. </w:t>
      </w:r>
      <w:r w:rsidR="00AB1E43" w:rsidRPr="00C2312A">
        <w:rPr>
          <w:rFonts w:ascii="Times New Roman" w:eastAsia="Times New Roman" w:hAnsi="Times New Roman" w:cs="Times New Roman"/>
          <w:sz w:val="24"/>
          <w:szCs w:val="24"/>
        </w:rPr>
        <w:t xml:space="preserve">In addition, as discussed above, the PCM’s uncertainty </w:t>
      </w:r>
      <w:r w:rsidR="003D26A9" w:rsidRPr="00C2312A">
        <w:rPr>
          <w:rFonts w:ascii="Times New Roman" w:eastAsia="Times New Roman" w:hAnsi="Times New Roman" w:cs="Times New Roman"/>
          <w:sz w:val="24"/>
          <w:szCs w:val="24"/>
        </w:rPr>
        <w:t xml:space="preserve">would undermine its ability to incentivize market entry. </w:t>
      </w:r>
    </w:p>
    <w:p w14:paraId="44F971BE" w14:textId="2EAE6894" w:rsidR="004963B8" w:rsidRPr="00950BDA" w:rsidRDefault="00597AF9" w:rsidP="00ED27B9">
      <w:pPr>
        <w:spacing w:after="0" w:line="480" w:lineRule="auto"/>
        <w:ind w:firstLine="360"/>
        <w:jc w:val="both"/>
        <w:textAlignment w:val="center"/>
        <w:rPr>
          <w:rFonts w:ascii="Times New Roman" w:eastAsia="Times New Roman" w:hAnsi="Times New Roman" w:cs="Times New Roman"/>
          <w:sz w:val="24"/>
          <w:szCs w:val="24"/>
        </w:rPr>
      </w:pPr>
      <w:r w:rsidRPr="00C2312A">
        <w:rPr>
          <w:rFonts w:ascii="Times New Roman" w:eastAsia="Times New Roman" w:hAnsi="Times New Roman" w:cs="Times New Roman"/>
          <w:sz w:val="24"/>
          <w:szCs w:val="24"/>
        </w:rPr>
        <w:t xml:space="preserve">For these reasons, </w:t>
      </w:r>
      <w:r w:rsidR="00D3028E" w:rsidRPr="00C2312A">
        <w:rPr>
          <w:rFonts w:ascii="Times New Roman" w:eastAsia="Times New Roman" w:hAnsi="Times New Roman" w:cs="Times New Roman"/>
          <w:sz w:val="24"/>
          <w:szCs w:val="24"/>
        </w:rPr>
        <w:t>Pine Gate does not recommend the Commission adopt the PCM design</w:t>
      </w:r>
      <w:r w:rsidR="003218CE" w:rsidRPr="00C2312A">
        <w:rPr>
          <w:rFonts w:ascii="Times New Roman" w:eastAsia="Times New Roman" w:hAnsi="Times New Roman" w:cs="Times New Roman"/>
          <w:sz w:val="24"/>
          <w:szCs w:val="24"/>
        </w:rPr>
        <w:t xml:space="preserve"> at this time</w:t>
      </w:r>
      <w:r w:rsidR="00D3028E" w:rsidRPr="00C2312A">
        <w:rPr>
          <w:rFonts w:ascii="Times New Roman" w:eastAsia="Times New Roman" w:hAnsi="Times New Roman" w:cs="Times New Roman"/>
          <w:sz w:val="24"/>
          <w:szCs w:val="24"/>
        </w:rPr>
        <w:t xml:space="preserve">. However, if the Commission chooses to proceed with </w:t>
      </w:r>
      <w:r w:rsidRPr="00C2312A">
        <w:rPr>
          <w:rFonts w:ascii="Times New Roman" w:eastAsia="Times New Roman" w:hAnsi="Times New Roman" w:cs="Times New Roman"/>
          <w:sz w:val="24"/>
          <w:szCs w:val="24"/>
        </w:rPr>
        <w:t xml:space="preserve">adopting </w:t>
      </w:r>
      <w:r w:rsidR="00D3028E" w:rsidRPr="00C2312A">
        <w:rPr>
          <w:rFonts w:ascii="Times New Roman" w:eastAsia="Times New Roman" w:hAnsi="Times New Roman" w:cs="Times New Roman"/>
          <w:sz w:val="24"/>
          <w:szCs w:val="24"/>
        </w:rPr>
        <w:t xml:space="preserve">this design, Pine Gate urges the Commission to </w:t>
      </w:r>
      <w:r w:rsidR="00403B35" w:rsidRPr="00C2312A">
        <w:rPr>
          <w:rFonts w:ascii="Times New Roman" w:eastAsia="Times New Roman" w:hAnsi="Times New Roman" w:cs="Times New Roman"/>
          <w:sz w:val="24"/>
          <w:szCs w:val="24"/>
        </w:rPr>
        <w:t xml:space="preserve">adopt the improvements </w:t>
      </w:r>
      <w:r w:rsidR="00105755" w:rsidRPr="00C2312A">
        <w:rPr>
          <w:rFonts w:ascii="Times New Roman" w:eastAsia="Times New Roman" w:hAnsi="Times New Roman" w:cs="Times New Roman"/>
          <w:sz w:val="24"/>
          <w:szCs w:val="24"/>
        </w:rPr>
        <w:t xml:space="preserve">recommended by </w:t>
      </w:r>
      <w:r w:rsidR="00A866B0">
        <w:rPr>
          <w:rFonts w:ascii="Times New Roman" w:eastAsia="Times New Roman" w:hAnsi="Times New Roman" w:cs="Times New Roman"/>
          <w:sz w:val="24"/>
          <w:szCs w:val="24"/>
        </w:rPr>
        <w:t xml:space="preserve">the Solar Associations and </w:t>
      </w:r>
      <w:r w:rsidR="00105755" w:rsidRPr="00C2312A">
        <w:rPr>
          <w:rFonts w:ascii="Times New Roman" w:eastAsia="Times New Roman" w:hAnsi="Times New Roman" w:cs="Times New Roman"/>
          <w:sz w:val="24"/>
          <w:szCs w:val="24"/>
        </w:rPr>
        <w:t>APA</w:t>
      </w:r>
      <w:r w:rsidR="00A866B0">
        <w:rPr>
          <w:rFonts w:ascii="Times New Roman" w:eastAsia="Times New Roman" w:hAnsi="Times New Roman" w:cs="Times New Roman"/>
          <w:sz w:val="24"/>
          <w:szCs w:val="24"/>
        </w:rPr>
        <w:t xml:space="preserve"> and ACP</w:t>
      </w:r>
      <w:r w:rsidR="00105755" w:rsidRPr="00C2312A">
        <w:rPr>
          <w:rFonts w:ascii="Times New Roman" w:eastAsia="Times New Roman" w:hAnsi="Times New Roman" w:cs="Times New Roman"/>
          <w:sz w:val="24"/>
          <w:szCs w:val="24"/>
        </w:rPr>
        <w:t xml:space="preserve">. </w:t>
      </w:r>
      <w:r w:rsidR="00E12CFE" w:rsidRPr="00C2312A">
        <w:rPr>
          <w:rFonts w:ascii="Times New Roman" w:eastAsia="Times New Roman" w:hAnsi="Times New Roman" w:cs="Times New Roman"/>
          <w:sz w:val="24"/>
          <w:szCs w:val="24"/>
        </w:rPr>
        <w:t xml:space="preserve">In particular, Pine Gate urges the Commission to </w:t>
      </w:r>
      <w:r w:rsidR="00C777AA" w:rsidRPr="00C2312A">
        <w:rPr>
          <w:rFonts w:ascii="Times New Roman" w:eastAsia="Times New Roman" w:hAnsi="Times New Roman" w:cs="Times New Roman"/>
          <w:sz w:val="24"/>
          <w:szCs w:val="24"/>
        </w:rPr>
        <w:t xml:space="preserve">use </w:t>
      </w:r>
      <w:r w:rsidR="00A70FAC" w:rsidRPr="00C2312A">
        <w:rPr>
          <w:rFonts w:ascii="Times New Roman" w:eastAsia="Times New Roman" w:hAnsi="Times New Roman" w:cs="Times New Roman"/>
          <w:sz w:val="24"/>
          <w:szCs w:val="24"/>
        </w:rPr>
        <w:t xml:space="preserve">ERCOT’s existing ORDC </w:t>
      </w:r>
      <w:r w:rsidR="00E12CFE" w:rsidRPr="00C2312A">
        <w:rPr>
          <w:rFonts w:ascii="Times New Roman" w:hAnsi="Times New Roman" w:cs="Times New Roman"/>
          <w:sz w:val="24"/>
          <w:szCs w:val="24"/>
        </w:rPr>
        <w:t>to deliver</w:t>
      </w:r>
      <w:r w:rsidR="00A70FAC" w:rsidRPr="00C2312A">
        <w:rPr>
          <w:rFonts w:ascii="Times New Roman" w:hAnsi="Times New Roman" w:cs="Times New Roman"/>
          <w:sz w:val="24"/>
          <w:szCs w:val="24"/>
        </w:rPr>
        <w:t xml:space="preserve">, as much as possible, </w:t>
      </w:r>
      <w:r w:rsidR="00E12CFE" w:rsidRPr="00C2312A">
        <w:rPr>
          <w:rFonts w:ascii="Times New Roman" w:hAnsi="Times New Roman" w:cs="Times New Roman"/>
          <w:sz w:val="24"/>
          <w:szCs w:val="24"/>
        </w:rPr>
        <w:t xml:space="preserve">the Commission’s desired </w:t>
      </w:r>
      <w:r w:rsidR="00E94DDF" w:rsidRPr="00C2312A">
        <w:rPr>
          <w:rFonts w:ascii="Times New Roman" w:hAnsi="Times New Roman" w:cs="Times New Roman"/>
          <w:sz w:val="24"/>
          <w:szCs w:val="24"/>
        </w:rPr>
        <w:t xml:space="preserve">reliability standard </w:t>
      </w:r>
      <w:r w:rsidR="00E12CFE" w:rsidRPr="00C2312A">
        <w:rPr>
          <w:rFonts w:ascii="Times New Roman" w:hAnsi="Times New Roman" w:cs="Times New Roman"/>
          <w:sz w:val="24"/>
          <w:szCs w:val="24"/>
        </w:rPr>
        <w:t>on its own</w:t>
      </w:r>
      <w:r w:rsidR="00E94DDF" w:rsidRPr="00C2312A">
        <w:rPr>
          <w:rFonts w:ascii="Times New Roman" w:hAnsi="Times New Roman" w:cs="Times New Roman"/>
          <w:sz w:val="24"/>
          <w:szCs w:val="24"/>
        </w:rPr>
        <w:t>. This will help ensure the PCM has minimal impact on the existing energy and ancillary services markets</w:t>
      </w:r>
      <w:r w:rsidR="004C0B0F" w:rsidRPr="00C2312A">
        <w:rPr>
          <w:rFonts w:ascii="Times New Roman" w:hAnsi="Times New Roman" w:cs="Times New Roman"/>
          <w:sz w:val="24"/>
          <w:szCs w:val="24"/>
        </w:rPr>
        <w:t xml:space="preserve">. The Commission could, for example, </w:t>
      </w:r>
      <w:r w:rsidR="002A491F" w:rsidRPr="00C2312A">
        <w:rPr>
          <w:rFonts w:ascii="Times New Roman" w:hAnsi="Times New Roman" w:cs="Times New Roman"/>
          <w:sz w:val="24"/>
          <w:szCs w:val="24"/>
        </w:rPr>
        <w:t xml:space="preserve">target the PCM </w:t>
      </w:r>
      <w:r w:rsidR="0045337E" w:rsidRPr="00C2312A">
        <w:rPr>
          <w:rFonts w:ascii="Times New Roman" w:hAnsi="Times New Roman" w:cs="Times New Roman"/>
          <w:sz w:val="24"/>
          <w:szCs w:val="24"/>
        </w:rPr>
        <w:t xml:space="preserve">design so that </w:t>
      </w:r>
      <w:r w:rsidR="007F1F6F" w:rsidRPr="00C2312A">
        <w:rPr>
          <w:rFonts w:ascii="Times New Roman" w:hAnsi="Times New Roman" w:cs="Times New Roman"/>
          <w:sz w:val="24"/>
          <w:szCs w:val="24"/>
        </w:rPr>
        <w:t xml:space="preserve">the </w:t>
      </w:r>
      <w:r w:rsidR="001E0B5A" w:rsidRPr="00C2312A">
        <w:rPr>
          <w:rFonts w:ascii="Times New Roman" w:hAnsi="Times New Roman" w:cs="Times New Roman"/>
          <w:sz w:val="24"/>
          <w:szCs w:val="24"/>
        </w:rPr>
        <w:t xml:space="preserve">PCM </w:t>
      </w:r>
      <w:r w:rsidR="007F1F6F" w:rsidRPr="00C2312A">
        <w:rPr>
          <w:rFonts w:ascii="Times New Roman" w:hAnsi="Times New Roman" w:cs="Times New Roman"/>
          <w:sz w:val="24"/>
          <w:szCs w:val="24"/>
        </w:rPr>
        <w:t xml:space="preserve">market does </w:t>
      </w:r>
      <w:r w:rsidR="001E0B5A" w:rsidRPr="00C2312A">
        <w:rPr>
          <w:rFonts w:ascii="Times New Roman" w:hAnsi="Times New Roman" w:cs="Times New Roman"/>
          <w:sz w:val="24"/>
          <w:szCs w:val="24"/>
        </w:rPr>
        <w:t>not exceed 10</w:t>
      </w:r>
      <w:r w:rsidR="006B1F43" w:rsidRPr="00C2312A">
        <w:rPr>
          <w:rFonts w:ascii="Times New Roman" w:hAnsi="Times New Roman" w:cs="Times New Roman"/>
          <w:sz w:val="24"/>
          <w:szCs w:val="24"/>
        </w:rPr>
        <w:t xml:space="preserve">% of the </w:t>
      </w:r>
      <w:r w:rsidR="007F1F6F" w:rsidRPr="00C2312A">
        <w:rPr>
          <w:rFonts w:ascii="Times New Roman" w:hAnsi="Times New Roman" w:cs="Times New Roman"/>
          <w:sz w:val="24"/>
          <w:szCs w:val="24"/>
        </w:rPr>
        <w:t xml:space="preserve">combined energy, ancillary services, and PCM markets. </w:t>
      </w:r>
    </w:p>
    <w:p w14:paraId="7497818A" w14:textId="21E1274E" w:rsidR="00547748" w:rsidRPr="00950BDA" w:rsidRDefault="00547748" w:rsidP="008D0319">
      <w:pPr>
        <w:numPr>
          <w:ilvl w:val="0"/>
          <w:numId w:val="17"/>
        </w:numPr>
        <w:spacing w:after="0" w:line="480" w:lineRule="auto"/>
        <w:jc w:val="both"/>
        <w:textAlignment w:val="center"/>
        <w:rPr>
          <w:rFonts w:ascii="Times New Roman" w:eastAsia="Times New Roman" w:hAnsi="Times New Roman" w:cs="Times New Roman"/>
          <w:b/>
          <w:bCs/>
          <w:sz w:val="24"/>
          <w:szCs w:val="24"/>
        </w:rPr>
      </w:pPr>
      <w:r w:rsidRPr="00C81B73">
        <w:rPr>
          <w:rFonts w:ascii="Times New Roman" w:eastAsia="Times New Roman" w:hAnsi="Times New Roman" w:cs="Times New Roman"/>
          <w:b/>
          <w:bCs/>
          <w:sz w:val="24"/>
          <w:szCs w:val="24"/>
        </w:rPr>
        <w:t>What is the appropriate reliability standard to achieve the goals stated in Question 2</w:t>
      </w:r>
      <w:bookmarkStart w:id="5" w:name="_Int_sQlaPDon"/>
      <w:r w:rsidR="54D1C96A" w:rsidRPr="00C81B73">
        <w:rPr>
          <w:rFonts w:ascii="Times New Roman" w:eastAsia="Times New Roman" w:hAnsi="Times New Roman" w:cs="Times New Roman"/>
          <w:b/>
          <w:bCs/>
          <w:sz w:val="24"/>
          <w:szCs w:val="24"/>
        </w:rPr>
        <w:t xml:space="preserve">? </w:t>
      </w:r>
      <w:bookmarkEnd w:id="5"/>
      <w:r w:rsidRPr="00C81B73">
        <w:rPr>
          <w:rFonts w:ascii="Times New Roman" w:eastAsia="Times New Roman" w:hAnsi="Times New Roman" w:cs="Times New Roman"/>
          <w:b/>
          <w:bCs/>
          <w:sz w:val="24"/>
          <w:szCs w:val="24"/>
        </w:rPr>
        <w:t>Is 1-in-10 loss of load expectation (LOLE) a reasonable standard to set, or should another standard be used, such as expected unserved energy (EUE)</w:t>
      </w:r>
      <w:r w:rsidR="3D5AC6A9" w:rsidRPr="00C81B73">
        <w:rPr>
          <w:rFonts w:ascii="Times New Roman" w:eastAsia="Times New Roman" w:hAnsi="Times New Roman" w:cs="Times New Roman"/>
          <w:b/>
          <w:bCs/>
          <w:sz w:val="24"/>
          <w:szCs w:val="24"/>
        </w:rPr>
        <w:t xml:space="preserve">. </w:t>
      </w:r>
      <w:r w:rsidRPr="00C81B73">
        <w:rPr>
          <w:rFonts w:ascii="Times New Roman" w:eastAsia="Times New Roman" w:hAnsi="Times New Roman" w:cs="Times New Roman"/>
          <w:b/>
          <w:bCs/>
          <w:sz w:val="24"/>
          <w:szCs w:val="24"/>
        </w:rPr>
        <w:t>If recommending a different standard, at what level should the standard be set (e.g., how many MWh of EUE per year)</w:t>
      </w:r>
      <w:r w:rsidR="4CCFED37" w:rsidRPr="00C81B73">
        <w:rPr>
          <w:rFonts w:ascii="Times New Roman" w:eastAsia="Times New Roman" w:hAnsi="Times New Roman" w:cs="Times New Roman"/>
          <w:b/>
          <w:bCs/>
          <w:sz w:val="24"/>
          <w:szCs w:val="24"/>
        </w:rPr>
        <w:t xml:space="preserve">? </w:t>
      </w:r>
    </w:p>
    <w:p w14:paraId="49014DCD" w14:textId="7619183D" w:rsidR="004813F2" w:rsidRPr="001509D6" w:rsidRDefault="00726F2F" w:rsidP="00BB5008">
      <w:pPr>
        <w:spacing w:after="0" w:line="480" w:lineRule="auto"/>
        <w:ind w:firstLine="720"/>
        <w:jc w:val="both"/>
        <w:textAlignment w:val="center"/>
        <w:rPr>
          <w:rFonts w:ascii="Times New Roman" w:hAnsi="Times New Roman" w:cs="Times New Roman"/>
          <w:sz w:val="24"/>
          <w:szCs w:val="24"/>
        </w:rPr>
      </w:pPr>
      <w:r>
        <w:rPr>
          <w:rFonts w:ascii="Times New Roman" w:eastAsia="Times New Roman" w:hAnsi="Times New Roman" w:cs="Times New Roman"/>
          <w:sz w:val="24"/>
          <w:szCs w:val="24"/>
        </w:rPr>
        <w:t xml:space="preserve">The goals expressed in Question 2, i.e., to </w:t>
      </w:r>
      <w:r w:rsidRPr="00950BDA">
        <w:rPr>
          <w:rFonts w:ascii="Times New Roman" w:eastAsia="Times New Roman" w:hAnsi="Times New Roman" w:cs="Times New Roman"/>
          <w:sz w:val="24"/>
          <w:szCs w:val="24"/>
        </w:rPr>
        <w:t>meet demand during times of net peak load and extreme power consumption conditions</w:t>
      </w:r>
      <w:r>
        <w:rPr>
          <w:rFonts w:ascii="Times New Roman" w:eastAsia="Times New Roman" w:hAnsi="Times New Roman" w:cs="Times New Roman"/>
          <w:sz w:val="24"/>
          <w:szCs w:val="24"/>
        </w:rPr>
        <w:t xml:space="preserve">, </w:t>
      </w:r>
      <w:r w:rsidR="00AF61C2">
        <w:rPr>
          <w:rFonts w:ascii="Times New Roman" w:eastAsia="Times New Roman" w:hAnsi="Times New Roman" w:cs="Times New Roman"/>
          <w:sz w:val="24"/>
          <w:szCs w:val="24"/>
        </w:rPr>
        <w:t xml:space="preserve">need to be more clearly defined </w:t>
      </w:r>
      <w:r w:rsidR="00A52FC3">
        <w:rPr>
          <w:rFonts w:ascii="Times New Roman" w:eastAsia="Times New Roman" w:hAnsi="Times New Roman" w:cs="Times New Roman"/>
          <w:sz w:val="24"/>
          <w:szCs w:val="24"/>
        </w:rPr>
        <w:t xml:space="preserve">as Pine Gate explains in its comments above. </w:t>
      </w:r>
      <w:r w:rsidR="00EA7085" w:rsidRPr="00950BDA">
        <w:rPr>
          <w:rFonts w:ascii="Times New Roman" w:eastAsia="Times New Roman" w:hAnsi="Times New Roman" w:cs="Times New Roman"/>
          <w:sz w:val="24"/>
          <w:szCs w:val="24"/>
        </w:rPr>
        <w:t>Pine Gate notes that different reliability metrics serve different purposes.</w:t>
      </w:r>
      <w:r w:rsidR="00BD6E37">
        <w:rPr>
          <w:rFonts w:ascii="Times New Roman" w:eastAsia="Times New Roman" w:hAnsi="Times New Roman" w:cs="Times New Roman"/>
          <w:sz w:val="24"/>
          <w:szCs w:val="24"/>
        </w:rPr>
        <w:t xml:space="preserve"> </w:t>
      </w:r>
      <w:r w:rsidR="00EA7085" w:rsidRPr="00950BDA">
        <w:rPr>
          <w:rFonts w:ascii="Times New Roman" w:eastAsia="Times New Roman" w:hAnsi="Times New Roman" w:cs="Times New Roman"/>
          <w:sz w:val="24"/>
          <w:szCs w:val="24"/>
        </w:rPr>
        <w:t xml:space="preserve">While </w:t>
      </w:r>
      <w:r w:rsidR="00187B44" w:rsidRPr="00950BDA">
        <w:rPr>
          <w:rFonts w:ascii="Times New Roman" w:eastAsia="Times New Roman" w:hAnsi="Times New Roman" w:cs="Times New Roman"/>
          <w:sz w:val="24"/>
          <w:szCs w:val="24"/>
        </w:rPr>
        <w:t xml:space="preserve">the </w:t>
      </w:r>
      <w:r w:rsidR="0011620D" w:rsidRPr="00950BDA">
        <w:rPr>
          <w:rFonts w:ascii="Times New Roman" w:eastAsia="Times New Roman" w:hAnsi="Times New Roman" w:cs="Times New Roman"/>
          <w:sz w:val="24"/>
          <w:szCs w:val="24"/>
        </w:rPr>
        <w:t xml:space="preserve">industry widely uses the </w:t>
      </w:r>
      <w:r w:rsidR="00CA5D54">
        <w:rPr>
          <w:rFonts w:ascii="Times New Roman" w:eastAsia="Times New Roman" w:hAnsi="Times New Roman" w:cs="Times New Roman"/>
          <w:sz w:val="24"/>
          <w:szCs w:val="24"/>
        </w:rPr>
        <w:t>one</w:t>
      </w:r>
      <w:r w:rsidR="0011620D" w:rsidRPr="00950BDA">
        <w:rPr>
          <w:rFonts w:ascii="Times New Roman" w:eastAsia="Times New Roman" w:hAnsi="Times New Roman" w:cs="Times New Roman"/>
          <w:sz w:val="24"/>
          <w:szCs w:val="24"/>
        </w:rPr>
        <w:t xml:space="preserve"> day in ten years LOLE standard, the standard </w:t>
      </w:r>
      <w:r w:rsidR="00F1377B" w:rsidRPr="00950BDA">
        <w:rPr>
          <w:rFonts w:ascii="Times New Roman" w:eastAsia="Times New Roman" w:hAnsi="Times New Roman" w:cs="Times New Roman"/>
          <w:sz w:val="24"/>
          <w:szCs w:val="24"/>
        </w:rPr>
        <w:t xml:space="preserve">has lost some of its usefulness as </w:t>
      </w:r>
      <w:r w:rsidR="00F940F0">
        <w:rPr>
          <w:rFonts w:ascii="Times New Roman" w:eastAsia="Times New Roman" w:hAnsi="Times New Roman" w:cs="Times New Roman"/>
          <w:sz w:val="24"/>
          <w:szCs w:val="24"/>
        </w:rPr>
        <w:t>the grid has evolved</w:t>
      </w:r>
      <w:r w:rsidR="004000BB" w:rsidRPr="00950BDA">
        <w:rPr>
          <w:rFonts w:ascii="Times New Roman" w:eastAsia="Times New Roman" w:hAnsi="Times New Roman" w:cs="Times New Roman"/>
          <w:sz w:val="24"/>
          <w:szCs w:val="24"/>
        </w:rPr>
        <w:t>.</w:t>
      </w:r>
      <w:r w:rsidR="00F1377B" w:rsidRPr="00950BDA">
        <w:rPr>
          <w:rFonts w:ascii="Times New Roman" w:eastAsia="Times New Roman" w:hAnsi="Times New Roman" w:cs="Times New Roman"/>
          <w:sz w:val="24"/>
          <w:szCs w:val="24"/>
        </w:rPr>
        <w:t xml:space="preserve"> </w:t>
      </w:r>
      <w:r w:rsidR="004000BB" w:rsidRPr="00950BDA">
        <w:rPr>
          <w:rFonts w:ascii="Times New Roman" w:eastAsia="Times New Roman" w:hAnsi="Times New Roman" w:cs="Times New Roman"/>
          <w:sz w:val="24"/>
          <w:szCs w:val="24"/>
        </w:rPr>
        <w:t xml:space="preserve">Whereas LOLE </w:t>
      </w:r>
      <w:r w:rsidR="007722AD" w:rsidRPr="00950BDA">
        <w:rPr>
          <w:rFonts w:ascii="Times New Roman" w:eastAsia="Times New Roman" w:hAnsi="Times New Roman" w:cs="Times New Roman"/>
          <w:sz w:val="24"/>
          <w:szCs w:val="24"/>
        </w:rPr>
        <w:t>helps identify the amount of capacity needed to meet a given target, EUE c</w:t>
      </w:r>
      <w:r w:rsidR="00B57B21" w:rsidRPr="00950BDA">
        <w:rPr>
          <w:rFonts w:ascii="Times New Roman" w:eastAsia="Times New Roman" w:hAnsi="Times New Roman" w:cs="Times New Roman"/>
          <w:sz w:val="24"/>
          <w:szCs w:val="24"/>
        </w:rPr>
        <w:t xml:space="preserve">an identify the amount of energy needed at specific times.  </w:t>
      </w:r>
      <w:r w:rsidR="000810AE" w:rsidRPr="00950BDA">
        <w:rPr>
          <w:rFonts w:ascii="Times New Roman" w:eastAsia="Times New Roman" w:hAnsi="Times New Roman" w:cs="Times New Roman"/>
          <w:sz w:val="24"/>
          <w:szCs w:val="24"/>
        </w:rPr>
        <w:t xml:space="preserve">A recent study performed by </w:t>
      </w:r>
      <w:r w:rsidR="00F1377B" w:rsidRPr="00950BDA">
        <w:rPr>
          <w:rFonts w:ascii="Times New Roman" w:eastAsia="Times New Roman" w:hAnsi="Times New Roman" w:cs="Times New Roman"/>
          <w:sz w:val="24"/>
          <w:szCs w:val="24"/>
        </w:rPr>
        <w:t xml:space="preserve">Southwest Power Pool </w:t>
      </w:r>
      <w:r w:rsidR="000810AE" w:rsidRPr="00950BDA">
        <w:rPr>
          <w:rFonts w:ascii="Times New Roman" w:eastAsia="Times New Roman" w:hAnsi="Times New Roman" w:cs="Times New Roman"/>
          <w:sz w:val="24"/>
          <w:szCs w:val="24"/>
        </w:rPr>
        <w:t xml:space="preserve">showed </w:t>
      </w:r>
      <w:r w:rsidR="002E36F8" w:rsidRPr="00950BDA">
        <w:rPr>
          <w:rFonts w:ascii="Times New Roman" w:eastAsia="Times New Roman" w:hAnsi="Times New Roman" w:cs="Times New Roman"/>
          <w:sz w:val="24"/>
          <w:szCs w:val="24"/>
        </w:rPr>
        <w:t>that under certain conditions</w:t>
      </w:r>
      <w:r w:rsidR="00EE759F">
        <w:rPr>
          <w:rFonts w:ascii="Times New Roman" w:eastAsia="Times New Roman" w:hAnsi="Times New Roman" w:cs="Times New Roman"/>
          <w:sz w:val="24"/>
          <w:szCs w:val="24"/>
        </w:rPr>
        <w:t>,</w:t>
      </w:r>
      <w:r w:rsidR="002E36F8" w:rsidRPr="00950BDA">
        <w:rPr>
          <w:rFonts w:ascii="Times New Roman" w:eastAsia="Times New Roman" w:hAnsi="Times New Roman" w:cs="Times New Roman"/>
          <w:sz w:val="24"/>
          <w:szCs w:val="24"/>
        </w:rPr>
        <w:t xml:space="preserve"> the </w:t>
      </w:r>
      <w:r w:rsidR="00C513AE">
        <w:rPr>
          <w:rFonts w:ascii="Times New Roman" w:eastAsia="Times New Roman" w:hAnsi="Times New Roman" w:cs="Times New Roman"/>
          <w:sz w:val="24"/>
          <w:szCs w:val="24"/>
        </w:rPr>
        <w:t>number</w:t>
      </w:r>
      <w:r w:rsidR="00C513AE" w:rsidRPr="00950BDA">
        <w:rPr>
          <w:rFonts w:ascii="Times New Roman" w:eastAsia="Times New Roman" w:hAnsi="Times New Roman" w:cs="Times New Roman"/>
          <w:sz w:val="24"/>
          <w:szCs w:val="24"/>
        </w:rPr>
        <w:t xml:space="preserve"> </w:t>
      </w:r>
      <w:r w:rsidR="002E36F8" w:rsidRPr="00950BDA">
        <w:rPr>
          <w:rFonts w:ascii="Times New Roman" w:eastAsia="Times New Roman" w:hAnsi="Times New Roman" w:cs="Times New Roman"/>
          <w:sz w:val="24"/>
          <w:szCs w:val="24"/>
        </w:rPr>
        <w:t>of outages (</w:t>
      </w:r>
      <w:r w:rsidR="0096619D">
        <w:rPr>
          <w:rFonts w:ascii="Times New Roman" w:eastAsia="Times New Roman" w:hAnsi="Times New Roman" w:cs="Times New Roman"/>
          <w:sz w:val="24"/>
          <w:szCs w:val="24"/>
        </w:rPr>
        <w:t xml:space="preserve">i.e., </w:t>
      </w:r>
      <w:r w:rsidR="002E36F8" w:rsidRPr="00950BDA">
        <w:rPr>
          <w:rFonts w:ascii="Times New Roman" w:eastAsia="Times New Roman" w:hAnsi="Times New Roman" w:cs="Times New Roman"/>
          <w:sz w:val="24"/>
          <w:szCs w:val="24"/>
        </w:rPr>
        <w:t xml:space="preserve">LOLE) could remain low even as the magnitude </w:t>
      </w:r>
      <w:r w:rsidR="00B43368" w:rsidRPr="00950BDA">
        <w:rPr>
          <w:rFonts w:ascii="Times New Roman" w:eastAsia="Times New Roman" w:hAnsi="Times New Roman" w:cs="Times New Roman"/>
          <w:sz w:val="24"/>
          <w:szCs w:val="24"/>
        </w:rPr>
        <w:t>of those outages (</w:t>
      </w:r>
      <w:r w:rsidR="0096619D">
        <w:rPr>
          <w:rFonts w:ascii="Times New Roman" w:eastAsia="Times New Roman" w:hAnsi="Times New Roman" w:cs="Times New Roman"/>
          <w:sz w:val="24"/>
          <w:szCs w:val="24"/>
        </w:rPr>
        <w:t xml:space="preserve">i.e., </w:t>
      </w:r>
      <w:r w:rsidR="00B43368" w:rsidRPr="00950BDA">
        <w:rPr>
          <w:rFonts w:ascii="Times New Roman" w:eastAsia="Times New Roman" w:hAnsi="Times New Roman" w:cs="Times New Roman"/>
          <w:sz w:val="24"/>
          <w:szCs w:val="24"/>
        </w:rPr>
        <w:t>EUE) increased exponentially</w:t>
      </w:r>
      <w:r w:rsidR="0096619D">
        <w:rPr>
          <w:rFonts w:ascii="Times New Roman" w:eastAsia="Times New Roman" w:hAnsi="Times New Roman" w:cs="Times New Roman"/>
          <w:sz w:val="24"/>
          <w:szCs w:val="24"/>
        </w:rPr>
        <w:t>,</w:t>
      </w:r>
      <w:r w:rsidR="00B43368" w:rsidRPr="00950BDA">
        <w:rPr>
          <w:rFonts w:ascii="Times New Roman" w:eastAsia="Times New Roman" w:hAnsi="Times New Roman" w:cs="Times New Roman"/>
          <w:sz w:val="24"/>
          <w:szCs w:val="24"/>
        </w:rPr>
        <w:t xml:space="preserve"> concluding that </w:t>
      </w:r>
      <w:r w:rsidR="00EB4FF7" w:rsidRPr="00950BDA">
        <w:rPr>
          <w:rFonts w:ascii="Times New Roman" w:eastAsia="Times New Roman" w:hAnsi="Times New Roman" w:cs="Times New Roman"/>
          <w:sz w:val="24"/>
          <w:szCs w:val="24"/>
        </w:rPr>
        <w:t xml:space="preserve">the </w:t>
      </w:r>
      <w:r w:rsidR="0096619D">
        <w:rPr>
          <w:rFonts w:ascii="Times New Roman" w:eastAsia="Times New Roman" w:hAnsi="Times New Roman" w:cs="Times New Roman"/>
          <w:sz w:val="24"/>
          <w:szCs w:val="24"/>
        </w:rPr>
        <w:t>one</w:t>
      </w:r>
      <w:r w:rsidR="00EB4FF7" w:rsidRPr="00950BDA">
        <w:rPr>
          <w:rFonts w:ascii="Times New Roman" w:eastAsia="Times New Roman" w:hAnsi="Times New Roman" w:cs="Times New Roman"/>
          <w:sz w:val="24"/>
          <w:szCs w:val="24"/>
        </w:rPr>
        <w:t xml:space="preserve"> day in ten years metric might not be appropriate to apply to a system with a high penetration of renewables.</w:t>
      </w:r>
      <w:r w:rsidR="001B0B99" w:rsidRPr="00950BDA">
        <w:rPr>
          <w:rStyle w:val="FootnoteReference"/>
          <w:rFonts w:ascii="Times New Roman" w:eastAsia="Times New Roman" w:hAnsi="Times New Roman" w:cs="Times New Roman"/>
          <w:sz w:val="24"/>
          <w:szCs w:val="24"/>
        </w:rPr>
        <w:footnoteReference w:id="25"/>
      </w:r>
      <w:r w:rsidR="00EB4FF7" w:rsidRPr="00950BDA">
        <w:rPr>
          <w:rFonts w:ascii="Times New Roman" w:eastAsia="Times New Roman" w:hAnsi="Times New Roman" w:cs="Times New Roman"/>
          <w:sz w:val="24"/>
          <w:szCs w:val="24"/>
        </w:rPr>
        <w:t xml:space="preserve"> </w:t>
      </w:r>
      <w:r w:rsidR="00F940F0">
        <w:rPr>
          <w:rFonts w:ascii="Times New Roman" w:eastAsia="Times New Roman" w:hAnsi="Times New Roman" w:cs="Times New Roman"/>
          <w:sz w:val="24"/>
          <w:szCs w:val="24"/>
        </w:rPr>
        <w:t xml:space="preserve">To further </w:t>
      </w:r>
      <w:r w:rsidR="004813F2">
        <w:rPr>
          <w:rFonts w:ascii="Times New Roman" w:eastAsia="Times New Roman" w:hAnsi="Times New Roman" w:cs="Times New Roman"/>
          <w:sz w:val="24"/>
          <w:szCs w:val="24"/>
        </w:rPr>
        <w:t xml:space="preserve">understand </w:t>
      </w:r>
      <w:r w:rsidR="00F940F0">
        <w:rPr>
          <w:rFonts w:ascii="Times New Roman" w:eastAsia="Times New Roman" w:hAnsi="Times New Roman" w:cs="Times New Roman"/>
          <w:sz w:val="24"/>
          <w:szCs w:val="24"/>
        </w:rPr>
        <w:t>the problem with relying exclusively on LOLE</w:t>
      </w:r>
      <w:r w:rsidR="004813F2">
        <w:rPr>
          <w:rFonts w:ascii="Times New Roman" w:eastAsia="Times New Roman" w:hAnsi="Times New Roman" w:cs="Times New Roman"/>
          <w:sz w:val="24"/>
          <w:szCs w:val="24"/>
        </w:rPr>
        <w:t xml:space="preserve">, the Commission should consider that </w:t>
      </w:r>
      <w:r w:rsidR="004813F2" w:rsidRPr="001509D6">
        <w:rPr>
          <w:rFonts w:ascii="Times New Roman" w:hAnsi="Times New Roman" w:cs="Times New Roman"/>
          <w:sz w:val="24"/>
          <w:szCs w:val="24"/>
        </w:rPr>
        <w:t>ERCOT expected a reserve margin of 16.2%</w:t>
      </w:r>
      <w:r w:rsidR="004813F2">
        <w:rPr>
          <w:rFonts w:ascii="Times New Roman" w:hAnsi="Times New Roman" w:cs="Times New Roman"/>
          <w:sz w:val="24"/>
          <w:szCs w:val="24"/>
        </w:rPr>
        <w:t xml:space="preserve"> immediately prior to Winter Storm Uri</w:t>
      </w:r>
      <w:r w:rsidR="00077C7C">
        <w:rPr>
          <w:rFonts w:ascii="Times New Roman" w:hAnsi="Times New Roman" w:cs="Times New Roman"/>
          <w:sz w:val="24"/>
          <w:szCs w:val="24"/>
        </w:rPr>
        <w:t>,</w:t>
      </w:r>
      <w:r w:rsidR="004A6C23">
        <w:rPr>
          <w:rFonts w:ascii="Times New Roman" w:hAnsi="Times New Roman" w:cs="Times New Roman"/>
          <w:sz w:val="24"/>
          <w:szCs w:val="24"/>
        </w:rPr>
        <w:t xml:space="preserve"> but</w:t>
      </w:r>
      <w:r w:rsidR="00821C11">
        <w:rPr>
          <w:rFonts w:ascii="Times New Roman" w:hAnsi="Times New Roman" w:cs="Times New Roman"/>
          <w:sz w:val="24"/>
          <w:szCs w:val="24"/>
        </w:rPr>
        <w:t>, on February 15, 2021, experienced a</w:t>
      </w:r>
      <w:r w:rsidR="004813F2" w:rsidRPr="001509D6">
        <w:rPr>
          <w:rFonts w:ascii="Times New Roman" w:hAnsi="Times New Roman" w:cs="Times New Roman"/>
          <w:sz w:val="24"/>
          <w:szCs w:val="24"/>
        </w:rPr>
        <w:t xml:space="preserve"> -21.1% </w:t>
      </w:r>
      <w:r w:rsidR="00821C11">
        <w:rPr>
          <w:rFonts w:ascii="Times New Roman" w:hAnsi="Times New Roman" w:cs="Times New Roman"/>
          <w:sz w:val="24"/>
          <w:szCs w:val="24"/>
        </w:rPr>
        <w:t>reserve margin instead.</w:t>
      </w:r>
      <w:r w:rsidR="004813F2" w:rsidRPr="001509D6">
        <w:rPr>
          <w:rFonts w:ascii="Times New Roman" w:hAnsi="Times New Roman" w:cs="Times New Roman"/>
          <w:sz w:val="24"/>
          <w:szCs w:val="24"/>
          <w:vertAlign w:val="superscript"/>
        </w:rPr>
        <w:footnoteReference w:id="26"/>
      </w:r>
      <w:r w:rsidR="004813F2" w:rsidRPr="001509D6">
        <w:rPr>
          <w:rFonts w:ascii="Times New Roman" w:hAnsi="Times New Roman" w:cs="Times New Roman"/>
          <w:sz w:val="24"/>
          <w:szCs w:val="24"/>
        </w:rPr>
        <w:t xml:space="preserve"> </w:t>
      </w:r>
      <w:r w:rsidR="00821C11">
        <w:rPr>
          <w:rFonts w:ascii="Times New Roman" w:hAnsi="Times New Roman" w:cs="Times New Roman"/>
          <w:sz w:val="24"/>
          <w:szCs w:val="24"/>
        </w:rPr>
        <w:t>Pine Gate urges the Commission to carefully consider a variety of metrics rather than adopting</w:t>
      </w:r>
      <w:r w:rsidR="0092219D">
        <w:rPr>
          <w:rFonts w:ascii="Times New Roman" w:hAnsi="Times New Roman" w:cs="Times New Roman"/>
          <w:sz w:val="24"/>
          <w:szCs w:val="24"/>
        </w:rPr>
        <w:t xml:space="preserve"> and relying upon</w:t>
      </w:r>
      <w:r w:rsidR="00821C11">
        <w:rPr>
          <w:rFonts w:ascii="Times New Roman" w:hAnsi="Times New Roman" w:cs="Times New Roman"/>
          <w:sz w:val="24"/>
          <w:szCs w:val="24"/>
        </w:rPr>
        <w:t xml:space="preserve"> a single metric</w:t>
      </w:r>
      <w:r w:rsidR="00AC0E0F">
        <w:rPr>
          <w:rFonts w:ascii="Times New Roman" w:hAnsi="Times New Roman" w:cs="Times New Roman"/>
          <w:sz w:val="24"/>
          <w:szCs w:val="24"/>
        </w:rPr>
        <w:t xml:space="preserve">. </w:t>
      </w:r>
    </w:p>
    <w:p w14:paraId="62DD266F" w14:textId="3FCDAB9E" w:rsidR="007C5ADB" w:rsidRPr="00B1389A" w:rsidRDefault="00AC0E0F" w:rsidP="00362A8F">
      <w:pPr>
        <w:spacing w:after="0" w:line="48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CB22FA">
        <w:rPr>
          <w:rFonts w:ascii="Times New Roman" w:eastAsia="Times New Roman" w:hAnsi="Times New Roman" w:cs="Times New Roman"/>
          <w:sz w:val="24"/>
          <w:szCs w:val="24"/>
        </w:rPr>
        <w:t xml:space="preserve">The Commission should also consider other metrics besides LOLE and EUE including </w:t>
      </w:r>
      <w:r w:rsidR="00CB22FA">
        <w:rPr>
          <w:rFonts w:ascii="Times New Roman" w:hAnsi="Times New Roman" w:cs="Times New Roman"/>
          <w:sz w:val="24"/>
          <w:szCs w:val="24"/>
        </w:rPr>
        <w:t>t</w:t>
      </w:r>
      <w:r w:rsidR="00F33148" w:rsidRPr="00950BDA">
        <w:rPr>
          <w:rFonts w:ascii="Times New Roman" w:hAnsi="Times New Roman" w:cs="Times New Roman"/>
          <w:sz w:val="24"/>
          <w:szCs w:val="24"/>
        </w:rPr>
        <w:t xml:space="preserve">he economically </w:t>
      </w:r>
      <w:r w:rsidR="00F33148" w:rsidRPr="008B5393">
        <w:rPr>
          <w:rFonts w:ascii="Times New Roman" w:hAnsi="Times New Roman" w:cs="Times New Roman"/>
          <w:sz w:val="24"/>
          <w:szCs w:val="24"/>
        </w:rPr>
        <w:t xml:space="preserve">optimal reserve margin </w:t>
      </w:r>
      <w:r w:rsidR="00F65548" w:rsidRPr="008B5393">
        <w:rPr>
          <w:rFonts w:ascii="Times New Roman" w:hAnsi="Times New Roman" w:cs="Times New Roman"/>
          <w:sz w:val="24"/>
          <w:szCs w:val="24"/>
        </w:rPr>
        <w:t xml:space="preserve">as </w:t>
      </w:r>
      <w:r w:rsidR="00CB22FA" w:rsidRPr="008B5393">
        <w:rPr>
          <w:rFonts w:ascii="Times New Roman" w:hAnsi="Times New Roman" w:cs="Times New Roman"/>
          <w:sz w:val="24"/>
          <w:szCs w:val="24"/>
        </w:rPr>
        <w:t xml:space="preserve">described by </w:t>
      </w:r>
      <w:r w:rsidR="00F65548" w:rsidRPr="008B5393">
        <w:rPr>
          <w:rFonts w:ascii="Times New Roman" w:hAnsi="Times New Roman" w:cs="Times New Roman"/>
          <w:sz w:val="24"/>
          <w:szCs w:val="24"/>
        </w:rPr>
        <w:t xml:space="preserve">the </w:t>
      </w:r>
      <w:r w:rsidR="00CB22FA" w:rsidRPr="008B5393">
        <w:rPr>
          <w:rFonts w:ascii="Times New Roman" w:hAnsi="Times New Roman" w:cs="Times New Roman"/>
          <w:sz w:val="24"/>
          <w:szCs w:val="24"/>
        </w:rPr>
        <w:t xml:space="preserve">Brattle </w:t>
      </w:r>
      <w:r w:rsidR="00F65548" w:rsidRPr="008B5393">
        <w:rPr>
          <w:rFonts w:ascii="Times New Roman" w:hAnsi="Times New Roman" w:cs="Times New Roman"/>
          <w:sz w:val="24"/>
          <w:szCs w:val="24"/>
        </w:rPr>
        <w:t xml:space="preserve">Group and </w:t>
      </w:r>
      <w:r w:rsidR="00950BDA" w:rsidRPr="008B5393">
        <w:rPr>
          <w:rFonts w:ascii="Times New Roman" w:hAnsi="Times New Roman" w:cs="Times New Roman"/>
          <w:sz w:val="24"/>
          <w:szCs w:val="24"/>
        </w:rPr>
        <w:t xml:space="preserve">supported in </w:t>
      </w:r>
      <w:r w:rsidR="008B5393" w:rsidRPr="008B5393">
        <w:rPr>
          <w:rFonts w:ascii="Times New Roman" w:hAnsi="Times New Roman" w:cs="Times New Roman"/>
          <w:sz w:val="24"/>
          <w:szCs w:val="24"/>
        </w:rPr>
        <w:t xml:space="preserve">the comments of the </w:t>
      </w:r>
      <w:r w:rsidR="00764164">
        <w:rPr>
          <w:rFonts w:ascii="Times New Roman" w:hAnsi="Times New Roman" w:cs="Times New Roman"/>
          <w:sz w:val="24"/>
          <w:szCs w:val="24"/>
        </w:rPr>
        <w:t xml:space="preserve">Solar Associations </w:t>
      </w:r>
      <w:r w:rsidR="00950BDA" w:rsidRPr="008B5393">
        <w:rPr>
          <w:rFonts w:ascii="Times New Roman" w:hAnsi="Times New Roman" w:cs="Times New Roman"/>
          <w:sz w:val="24"/>
          <w:szCs w:val="24"/>
        </w:rPr>
        <w:t>comments in this</w:t>
      </w:r>
      <w:r w:rsidR="00950BDA">
        <w:rPr>
          <w:rFonts w:ascii="Times New Roman" w:hAnsi="Times New Roman" w:cs="Times New Roman"/>
          <w:sz w:val="24"/>
          <w:szCs w:val="24"/>
        </w:rPr>
        <w:t xml:space="preserve"> docket. According to the Brattle Group, the economically optimal reserve margin </w:t>
      </w:r>
      <w:r w:rsidR="00F33148" w:rsidRPr="00950BDA">
        <w:rPr>
          <w:rFonts w:ascii="Times New Roman" w:hAnsi="Times New Roman" w:cs="Times New Roman"/>
          <w:sz w:val="24"/>
          <w:szCs w:val="24"/>
        </w:rPr>
        <w:t>minimizes total system costs by weighing: (1) increasing capital costs of building more generation plants to achieve the higher reserve margins, against (2) decreasing scarcity-event-related costs as higher reserve margins help to avoid load shedding, reserve shortages, demand-response calls, and other emergency event costs.</w:t>
      </w:r>
      <w:r w:rsidR="00F33148" w:rsidRPr="00950BDA">
        <w:rPr>
          <w:rStyle w:val="FootnoteReference"/>
          <w:rFonts w:ascii="Times New Roman" w:hAnsi="Times New Roman" w:cs="Times New Roman"/>
          <w:sz w:val="24"/>
          <w:szCs w:val="24"/>
        </w:rPr>
        <w:footnoteReference w:id="27"/>
      </w:r>
    </w:p>
    <w:p w14:paraId="1A5C5711" w14:textId="6248260A" w:rsidR="00E94282" w:rsidRPr="00BB5008" w:rsidRDefault="00547748" w:rsidP="00BB5008">
      <w:pPr>
        <w:pStyle w:val="ListParagraph"/>
        <w:numPr>
          <w:ilvl w:val="0"/>
          <w:numId w:val="18"/>
        </w:numPr>
        <w:spacing w:after="0" w:line="480" w:lineRule="auto"/>
        <w:jc w:val="both"/>
        <w:textAlignment w:val="center"/>
        <w:rPr>
          <w:rFonts w:ascii="Times New Roman" w:eastAsia="Times New Roman" w:hAnsi="Times New Roman" w:cs="Times New Roman"/>
          <w:b/>
          <w:bCs/>
          <w:sz w:val="24"/>
          <w:szCs w:val="24"/>
        </w:rPr>
      </w:pPr>
      <w:r w:rsidRPr="00BB5008">
        <w:rPr>
          <w:rFonts w:ascii="Times New Roman" w:eastAsia="Times New Roman" w:hAnsi="Times New Roman" w:cs="Times New Roman"/>
          <w:b/>
          <w:bCs/>
          <w:sz w:val="24"/>
          <w:szCs w:val="24"/>
        </w:rPr>
        <w:t>Would a voluntary forward market for generation offers and a mandatory residual settlement process for LSE procurement provide additional generation revenue sufficient to incentivize resource availability in a way that improves reliability?</w:t>
      </w:r>
    </w:p>
    <w:p w14:paraId="789557F8" w14:textId="76B81CBC" w:rsidR="007C5ADB" w:rsidRPr="00822650" w:rsidRDefault="00C90121" w:rsidP="00BB5008">
      <w:pPr>
        <w:spacing w:after="0" w:line="480" w:lineRule="auto"/>
        <w:ind w:firstLine="720"/>
        <w:jc w:val="both"/>
        <w:rPr>
          <w:rFonts w:ascii="Times New Roman" w:eastAsia="Times New Roman" w:hAnsi="Times New Roman" w:cs="Times New Roman"/>
        </w:rPr>
      </w:pPr>
      <w:r>
        <w:rPr>
          <w:rFonts w:ascii="Times New Roman" w:eastAsia="Times New Roman" w:hAnsi="Times New Roman" w:cs="Times New Roman"/>
        </w:rPr>
        <w:t xml:space="preserve">It is unclear whether </w:t>
      </w:r>
      <w:r w:rsidR="004125DF">
        <w:rPr>
          <w:rFonts w:ascii="Times New Roman" w:eastAsia="Times New Roman" w:hAnsi="Times New Roman" w:cs="Times New Roman"/>
        </w:rPr>
        <w:t>the PCM</w:t>
      </w:r>
      <w:r>
        <w:rPr>
          <w:rFonts w:ascii="Times New Roman" w:eastAsia="Times New Roman" w:hAnsi="Times New Roman" w:cs="Times New Roman"/>
        </w:rPr>
        <w:t xml:space="preserve"> design</w:t>
      </w:r>
      <w:r w:rsidR="004125DF">
        <w:rPr>
          <w:rFonts w:ascii="Times New Roman" w:eastAsia="Times New Roman" w:hAnsi="Times New Roman" w:cs="Times New Roman"/>
        </w:rPr>
        <w:t xml:space="preserve">, absent </w:t>
      </w:r>
      <w:r w:rsidR="00CC6752">
        <w:rPr>
          <w:rFonts w:ascii="Times New Roman" w:eastAsia="Times New Roman" w:hAnsi="Times New Roman" w:cs="Times New Roman"/>
        </w:rPr>
        <w:t>further refinement,</w:t>
      </w:r>
      <w:r>
        <w:rPr>
          <w:rFonts w:ascii="Times New Roman" w:eastAsia="Times New Roman" w:hAnsi="Times New Roman" w:cs="Times New Roman"/>
        </w:rPr>
        <w:t xml:space="preserve"> would provide sufficient </w:t>
      </w:r>
      <w:r w:rsidR="008442B3">
        <w:rPr>
          <w:rFonts w:ascii="Times New Roman" w:eastAsia="Times New Roman" w:hAnsi="Times New Roman" w:cs="Times New Roman"/>
        </w:rPr>
        <w:t>revenue to incentivize new generation</w:t>
      </w:r>
      <w:r w:rsidR="29B2E326" w:rsidRPr="4A7B76B9">
        <w:rPr>
          <w:rFonts w:ascii="Times New Roman" w:eastAsia="Times New Roman" w:hAnsi="Times New Roman" w:cs="Times New Roman"/>
        </w:rPr>
        <w:t>.</w:t>
      </w:r>
      <w:r w:rsidR="60993B6E" w:rsidRPr="4A7B76B9">
        <w:rPr>
          <w:rFonts w:ascii="Times New Roman" w:eastAsia="Times New Roman" w:hAnsi="Times New Roman" w:cs="Times New Roman"/>
        </w:rPr>
        <w:t xml:space="preserve"> </w:t>
      </w:r>
      <w:r w:rsidR="581B0BF6" w:rsidRPr="33B0BA78">
        <w:rPr>
          <w:rFonts w:ascii="Times New Roman" w:eastAsia="Times New Roman" w:hAnsi="Times New Roman" w:cs="Times New Roman"/>
        </w:rPr>
        <w:t xml:space="preserve">Project financing </w:t>
      </w:r>
      <w:r w:rsidR="00E2424C">
        <w:rPr>
          <w:rFonts w:ascii="Times New Roman" w:eastAsia="Times New Roman" w:hAnsi="Times New Roman" w:cs="Times New Roman"/>
        </w:rPr>
        <w:t>requires revenue</w:t>
      </w:r>
      <w:r w:rsidR="581B0BF6" w:rsidRPr="33B0BA78">
        <w:rPr>
          <w:rFonts w:ascii="Times New Roman" w:eastAsia="Times New Roman" w:hAnsi="Times New Roman" w:cs="Times New Roman"/>
        </w:rPr>
        <w:t xml:space="preserve"> </w:t>
      </w:r>
      <w:r w:rsidR="581B0BF6" w:rsidRPr="29157DC7">
        <w:rPr>
          <w:rFonts w:ascii="Times New Roman" w:eastAsia="Times New Roman" w:hAnsi="Times New Roman" w:cs="Times New Roman"/>
        </w:rPr>
        <w:t xml:space="preserve">certainty. </w:t>
      </w:r>
      <w:r w:rsidR="002760C0">
        <w:rPr>
          <w:rFonts w:ascii="Times New Roman" w:eastAsia="Times New Roman" w:hAnsi="Times New Roman" w:cs="Times New Roman"/>
        </w:rPr>
        <w:t xml:space="preserve">Investors </w:t>
      </w:r>
      <w:r w:rsidR="514AAC31" w:rsidRPr="692E40FF">
        <w:rPr>
          <w:rFonts w:ascii="Times New Roman" w:eastAsia="Times New Roman" w:hAnsi="Times New Roman" w:cs="Times New Roman"/>
        </w:rPr>
        <w:t xml:space="preserve">typically </w:t>
      </w:r>
      <w:r w:rsidR="00CC6752">
        <w:rPr>
          <w:rFonts w:ascii="Times New Roman" w:eastAsia="Times New Roman" w:hAnsi="Times New Roman" w:cs="Times New Roman"/>
        </w:rPr>
        <w:t xml:space="preserve">discount future revenues streams </w:t>
      </w:r>
      <w:r w:rsidR="003A09C5">
        <w:rPr>
          <w:rFonts w:ascii="Times New Roman" w:eastAsia="Times New Roman" w:hAnsi="Times New Roman" w:cs="Times New Roman"/>
        </w:rPr>
        <w:t>by substantial amount (</w:t>
      </w:r>
      <w:r w:rsidR="514AAC31" w:rsidRPr="692E40FF">
        <w:rPr>
          <w:rFonts w:ascii="Times New Roman" w:eastAsia="Times New Roman" w:hAnsi="Times New Roman" w:cs="Times New Roman"/>
        </w:rPr>
        <w:t xml:space="preserve">50% or </w:t>
      </w:r>
      <w:r w:rsidR="003A09C5">
        <w:rPr>
          <w:rFonts w:ascii="Times New Roman" w:eastAsia="Times New Roman" w:hAnsi="Times New Roman" w:cs="Times New Roman"/>
        </w:rPr>
        <w:t>more) based on how much uncertainty they face</w:t>
      </w:r>
      <w:r w:rsidR="581B0BF6" w:rsidRPr="5E93044E">
        <w:rPr>
          <w:rFonts w:ascii="Times New Roman" w:eastAsia="Times New Roman" w:hAnsi="Times New Roman" w:cs="Times New Roman"/>
        </w:rPr>
        <w:t>.</w:t>
      </w:r>
      <w:r w:rsidR="581B0BF6" w:rsidRPr="1B0EB266">
        <w:rPr>
          <w:rFonts w:ascii="Times New Roman" w:eastAsia="Times New Roman" w:hAnsi="Times New Roman" w:cs="Times New Roman"/>
        </w:rPr>
        <w:t xml:space="preserve"> If revenues </w:t>
      </w:r>
      <w:r w:rsidR="581B0BF6" w:rsidRPr="53524AE0">
        <w:rPr>
          <w:rFonts w:ascii="Times New Roman" w:eastAsia="Times New Roman" w:hAnsi="Times New Roman" w:cs="Times New Roman"/>
        </w:rPr>
        <w:t xml:space="preserve">are </w:t>
      </w:r>
      <w:r w:rsidR="581B0BF6" w:rsidRPr="3D488CF6">
        <w:rPr>
          <w:rFonts w:ascii="Times New Roman" w:eastAsia="Times New Roman" w:hAnsi="Times New Roman" w:cs="Times New Roman"/>
        </w:rPr>
        <w:t xml:space="preserve">uncertain, </w:t>
      </w:r>
      <w:r w:rsidR="66C3BEA2" w:rsidRPr="649F59D5">
        <w:rPr>
          <w:rFonts w:ascii="Times New Roman" w:eastAsia="Times New Roman" w:hAnsi="Times New Roman" w:cs="Times New Roman"/>
        </w:rPr>
        <w:t xml:space="preserve">project </w:t>
      </w:r>
      <w:r w:rsidR="66C3BEA2" w:rsidRPr="2A30E167">
        <w:rPr>
          <w:rFonts w:ascii="Times New Roman" w:eastAsia="Times New Roman" w:hAnsi="Times New Roman" w:cs="Times New Roman"/>
        </w:rPr>
        <w:t xml:space="preserve">developers will not be </w:t>
      </w:r>
      <w:r w:rsidR="66C3BEA2" w:rsidRPr="0AA6B2F4">
        <w:rPr>
          <w:rFonts w:ascii="Times New Roman" w:eastAsia="Times New Roman" w:hAnsi="Times New Roman" w:cs="Times New Roman"/>
        </w:rPr>
        <w:t xml:space="preserve">able to </w:t>
      </w:r>
      <w:r w:rsidR="003A09C5">
        <w:rPr>
          <w:rFonts w:ascii="Times New Roman" w:eastAsia="Times New Roman" w:hAnsi="Times New Roman" w:cs="Times New Roman"/>
        </w:rPr>
        <w:t xml:space="preserve">attract sufficient </w:t>
      </w:r>
      <w:r w:rsidR="004D4013">
        <w:rPr>
          <w:rFonts w:ascii="Times New Roman" w:eastAsia="Times New Roman" w:hAnsi="Times New Roman" w:cs="Times New Roman"/>
        </w:rPr>
        <w:t xml:space="preserve">capital </w:t>
      </w:r>
      <w:r w:rsidR="003A09C5">
        <w:rPr>
          <w:rFonts w:ascii="Times New Roman" w:eastAsia="Times New Roman" w:hAnsi="Times New Roman" w:cs="Times New Roman"/>
        </w:rPr>
        <w:t xml:space="preserve">to </w:t>
      </w:r>
      <w:r w:rsidR="66C3BEA2" w:rsidRPr="55D1D152">
        <w:rPr>
          <w:rFonts w:ascii="Times New Roman" w:eastAsia="Times New Roman" w:hAnsi="Times New Roman" w:cs="Times New Roman"/>
        </w:rPr>
        <w:t>build</w:t>
      </w:r>
      <w:r w:rsidR="66C3BEA2" w:rsidRPr="224550D3">
        <w:rPr>
          <w:rFonts w:ascii="Times New Roman" w:eastAsia="Times New Roman" w:hAnsi="Times New Roman" w:cs="Times New Roman"/>
        </w:rPr>
        <w:t xml:space="preserve"> </w:t>
      </w:r>
      <w:r w:rsidR="003A09C5">
        <w:rPr>
          <w:rFonts w:ascii="Times New Roman" w:eastAsia="Times New Roman" w:hAnsi="Times New Roman" w:cs="Times New Roman"/>
        </w:rPr>
        <w:t xml:space="preserve">a </w:t>
      </w:r>
      <w:r w:rsidR="66C3BEA2" w:rsidRPr="30A5E467">
        <w:rPr>
          <w:rFonts w:ascii="Times New Roman" w:eastAsia="Times New Roman" w:hAnsi="Times New Roman" w:cs="Times New Roman"/>
        </w:rPr>
        <w:t>project</w:t>
      </w:r>
      <w:r w:rsidR="66C3BEA2" w:rsidRPr="04926893">
        <w:rPr>
          <w:rFonts w:ascii="Times New Roman" w:eastAsia="Times New Roman" w:hAnsi="Times New Roman" w:cs="Times New Roman"/>
        </w:rPr>
        <w:t>.</w:t>
      </w:r>
      <w:r w:rsidR="66C3BEA2" w:rsidRPr="631A296F">
        <w:rPr>
          <w:rFonts w:ascii="Times New Roman" w:eastAsia="Times New Roman" w:hAnsi="Times New Roman" w:cs="Times New Roman"/>
        </w:rPr>
        <w:t xml:space="preserve"> </w:t>
      </w:r>
      <w:r w:rsidR="2CC86146" w:rsidRPr="2917DBA7">
        <w:rPr>
          <w:rFonts w:ascii="Times New Roman" w:eastAsia="Times New Roman" w:hAnsi="Times New Roman" w:cs="Times New Roman"/>
        </w:rPr>
        <w:t xml:space="preserve">The uncertainty of the PCM revenue stream </w:t>
      </w:r>
      <w:r w:rsidR="2CC86146" w:rsidRPr="366033C4">
        <w:rPr>
          <w:rFonts w:ascii="Times New Roman" w:eastAsia="Times New Roman" w:hAnsi="Times New Roman" w:cs="Times New Roman"/>
        </w:rPr>
        <w:t>would</w:t>
      </w:r>
      <w:r w:rsidR="2CC86146" w:rsidRPr="6A0356CF">
        <w:rPr>
          <w:rFonts w:ascii="Times New Roman" w:eastAsia="Times New Roman" w:hAnsi="Times New Roman" w:cs="Times New Roman"/>
        </w:rPr>
        <w:t xml:space="preserve"> </w:t>
      </w:r>
      <w:r w:rsidR="60F6C910" w:rsidRPr="6A0356CF">
        <w:rPr>
          <w:rFonts w:ascii="Times New Roman" w:eastAsia="Times New Roman" w:hAnsi="Times New Roman" w:cs="Times New Roman"/>
        </w:rPr>
        <w:t>also</w:t>
      </w:r>
      <w:r w:rsidR="2CC86146" w:rsidRPr="366033C4">
        <w:rPr>
          <w:rFonts w:ascii="Times New Roman" w:eastAsia="Times New Roman" w:hAnsi="Times New Roman" w:cs="Times New Roman"/>
        </w:rPr>
        <w:t xml:space="preserve"> </w:t>
      </w:r>
      <w:r w:rsidR="2CC86146" w:rsidRPr="4E587D7C">
        <w:rPr>
          <w:rFonts w:ascii="Times New Roman" w:eastAsia="Times New Roman" w:hAnsi="Times New Roman" w:cs="Times New Roman"/>
        </w:rPr>
        <w:t xml:space="preserve">result </w:t>
      </w:r>
      <w:r w:rsidR="43ED82D0" w:rsidRPr="4E587D7C">
        <w:rPr>
          <w:rFonts w:ascii="Times New Roman" w:eastAsia="Times New Roman" w:hAnsi="Times New Roman" w:cs="Times New Roman"/>
        </w:rPr>
        <w:t xml:space="preserve">in a </w:t>
      </w:r>
      <w:r w:rsidR="43ED82D0" w:rsidRPr="0A91AEDF">
        <w:rPr>
          <w:rFonts w:ascii="Times New Roman" w:eastAsia="Times New Roman" w:hAnsi="Times New Roman" w:cs="Times New Roman"/>
        </w:rPr>
        <w:t xml:space="preserve">significant </w:t>
      </w:r>
      <w:r w:rsidR="43ED82D0" w:rsidRPr="3C44587A">
        <w:rPr>
          <w:rFonts w:ascii="Times New Roman" w:eastAsia="Times New Roman" w:hAnsi="Times New Roman" w:cs="Times New Roman"/>
        </w:rPr>
        <w:t xml:space="preserve">coverage ratio </w:t>
      </w:r>
      <w:r w:rsidR="43ED82D0" w:rsidRPr="607B2960">
        <w:rPr>
          <w:rFonts w:ascii="Times New Roman" w:eastAsia="Times New Roman" w:hAnsi="Times New Roman" w:cs="Times New Roman"/>
        </w:rPr>
        <w:t>o</w:t>
      </w:r>
      <w:r w:rsidR="61193CBC" w:rsidRPr="607B2960">
        <w:rPr>
          <w:rFonts w:ascii="Times New Roman" w:eastAsia="Times New Roman" w:hAnsi="Times New Roman" w:cs="Times New Roman"/>
        </w:rPr>
        <w:t>f</w:t>
      </w:r>
      <w:r w:rsidR="43ED82D0" w:rsidRPr="3C44587A">
        <w:rPr>
          <w:rFonts w:ascii="Times New Roman" w:eastAsia="Times New Roman" w:hAnsi="Times New Roman" w:cs="Times New Roman"/>
        </w:rPr>
        <w:t xml:space="preserve"> that </w:t>
      </w:r>
      <w:r w:rsidR="43ED82D0" w:rsidRPr="17DA06FC">
        <w:rPr>
          <w:rFonts w:ascii="Times New Roman" w:eastAsia="Times New Roman" w:hAnsi="Times New Roman" w:cs="Times New Roman"/>
        </w:rPr>
        <w:t>revenue</w:t>
      </w:r>
      <w:r w:rsidR="2463EBD5" w:rsidRPr="47B601DC">
        <w:rPr>
          <w:rFonts w:ascii="Times New Roman" w:eastAsia="Times New Roman" w:hAnsi="Times New Roman" w:cs="Times New Roman"/>
        </w:rPr>
        <w:t xml:space="preserve"> that would have to be paid by the</w:t>
      </w:r>
      <w:r w:rsidR="2463EBD5" w:rsidRPr="56169570">
        <w:rPr>
          <w:rFonts w:ascii="Times New Roman" w:eastAsia="Times New Roman" w:hAnsi="Times New Roman" w:cs="Times New Roman"/>
        </w:rPr>
        <w:t xml:space="preserve"> </w:t>
      </w:r>
      <w:r w:rsidR="00041AD4">
        <w:rPr>
          <w:rFonts w:ascii="Times New Roman" w:eastAsia="Times New Roman" w:hAnsi="Times New Roman" w:cs="Times New Roman"/>
        </w:rPr>
        <w:t>developer</w:t>
      </w:r>
      <w:r w:rsidR="2463EBD5" w:rsidRPr="4AA81437">
        <w:rPr>
          <w:rFonts w:ascii="Times New Roman" w:eastAsia="Times New Roman" w:hAnsi="Times New Roman" w:cs="Times New Roman"/>
        </w:rPr>
        <w:t xml:space="preserve">. </w:t>
      </w:r>
      <w:r w:rsidR="7694EB7D" w:rsidRPr="315119FE">
        <w:rPr>
          <w:rFonts w:ascii="Times New Roman" w:eastAsia="Times New Roman" w:hAnsi="Times New Roman" w:cs="Times New Roman"/>
        </w:rPr>
        <w:t xml:space="preserve">While the </w:t>
      </w:r>
      <w:r w:rsidR="7694EB7D" w:rsidRPr="38BCBE98">
        <w:rPr>
          <w:rFonts w:ascii="Times New Roman" w:eastAsia="Times New Roman" w:hAnsi="Times New Roman" w:cs="Times New Roman"/>
        </w:rPr>
        <w:t>reve</w:t>
      </w:r>
      <w:r w:rsidR="0DBA0D08" w:rsidRPr="38BCBE98">
        <w:rPr>
          <w:rFonts w:ascii="Times New Roman" w:eastAsia="Times New Roman" w:hAnsi="Times New Roman" w:cs="Times New Roman"/>
        </w:rPr>
        <w:t xml:space="preserve">nue </w:t>
      </w:r>
      <w:r w:rsidR="0DBA0D08" w:rsidRPr="6303C399">
        <w:rPr>
          <w:rFonts w:ascii="Times New Roman" w:eastAsia="Times New Roman" w:hAnsi="Times New Roman" w:cs="Times New Roman"/>
        </w:rPr>
        <w:t xml:space="preserve">awarded to </w:t>
      </w:r>
      <w:r w:rsidR="0DBA0D08" w:rsidRPr="3F6CB6A3">
        <w:rPr>
          <w:rFonts w:ascii="Times New Roman" w:eastAsia="Times New Roman" w:hAnsi="Times New Roman" w:cs="Times New Roman"/>
        </w:rPr>
        <w:t xml:space="preserve">generators </w:t>
      </w:r>
      <w:r w:rsidR="0DBA0D08" w:rsidRPr="0610E2B2">
        <w:rPr>
          <w:rFonts w:ascii="Times New Roman" w:eastAsia="Times New Roman" w:hAnsi="Times New Roman" w:cs="Times New Roman"/>
        </w:rPr>
        <w:t xml:space="preserve">running during the 30 hours of lowest reserve </w:t>
      </w:r>
      <w:r w:rsidR="0DBA0D08" w:rsidRPr="57504B71">
        <w:rPr>
          <w:rFonts w:ascii="Times New Roman" w:eastAsia="Times New Roman" w:hAnsi="Times New Roman" w:cs="Times New Roman"/>
        </w:rPr>
        <w:t xml:space="preserve">would be </w:t>
      </w:r>
      <w:r w:rsidR="0DBA0D08" w:rsidRPr="139E31BE">
        <w:rPr>
          <w:rFonts w:ascii="Times New Roman" w:eastAsia="Times New Roman" w:hAnsi="Times New Roman" w:cs="Times New Roman"/>
        </w:rPr>
        <w:t xml:space="preserve">significant, </w:t>
      </w:r>
      <w:r w:rsidR="0DBA0D08" w:rsidRPr="4BE1CA38">
        <w:rPr>
          <w:rFonts w:ascii="Times New Roman" w:eastAsia="Times New Roman" w:hAnsi="Times New Roman" w:cs="Times New Roman"/>
        </w:rPr>
        <w:t xml:space="preserve">investors </w:t>
      </w:r>
      <w:r w:rsidR="0DBA0D08" w:rsidRPr="212B80CA">
        <w:rPr>
          <w:rFonts w:ascii="Times New Roman" w:eastAsia="Times New Roman" w:hAnsi="Times New Roman" w:cs="Times New Roman"/>
        </w:rPr>
        <w:t xml:space="preserve">will </w:t>
      </w:r>
      <w:r w:rsidR="278C49FE" w:rsidRPr="4229FDD2">
        <w:rPr>
          <w:rFonts w:ascii="Times New Roman" w:eastAsia="Times New Roman" w:hAnsi="Times New Roman" w:cs="Times New Roman"/>
        </w:rPr>
        <w:t>drastically</w:t>
      </w:r>
      <w:r w:rsidR="0DBA0D08" w:rsidRPr="4229FDD2">
        <w:rPr>
          <w:rFonts w:ascii="Times New Roman" w:eastAsia="Times New Roman" w:hAnsi="Times New Roman" w:cs="Times New Roman"/>
        </w:rPr>
        <w:t xml:space="preserve"> </w:t>
      </w:r>
      <w:r w:rsidR="0DBA0D08" w:rsidRPr="212B80CA">
        <w:rPr>
          <w:rFonts w:ascii="Times New Roman" w:eastAsia="Times New Roman" w:hAnsi="Times New Roman" w:cs="Times New Roman"/>
        </w:rPr>
        <w:t xml:space="preserve">discount that </w:t>
      </w:r>
      <w:r w:rsidR="0DBA0D08" w:rsidRPr="7D9473D3">
        <w:rPr>
          <w:rFonts w:ascii="Times New Roman" w:eastAsia="Times New Roman" w:hAnsi="Times New Roman" w:cs="Times New Roman"/>
        </w:rPr>
        <w:t xml:space="preserve">revenue </w:t>
      </w:r>
      <w:r w:rsidR="0DBA0D08" w:rsidRPr="07EAB996">
        <w:rPr>
          <w:rFonts w:ascii="Times New Roman" w:eastAsia="Times New Roman" w:hAnsi="Times New Roman" w:cs="Times New Roman"/>
        </w:rPr>
        <w:t xml:space="preserve">stream </w:t>
      </w:r>
      <w:r w:rsidR="0DBA0D08" w:rsidRPr="592A2255">
        <w:rPr>
          <w:rFonts w:ascii="Times New Roman" w:eastAsia="Times New Roman" w:hAnsi="Times New Roman" w:cs="Times New Roman"/>
        </w:rPr>
        <w:t xml:space="preserve">because </w:t>
      </w:r>
      <w:r w:rsidR="0DBA0D08" w:rsidRPr="457F36A4">
        <w:rPr>
          <w:rFonts w:ascii="Times New Roman" w:eastAsia="Times New Roman" w:hAnsi="Times New Roman" w:cs="Times New Roman"/>
        </w:rPr>
        <w:t xml:space="preserve">they </w:t>
      </w:r>
      <w:r w:rsidR="49048921" w:rsidRPr="457F36A4">
        <w:rPr>
          <w:rFonts w:ascii="Times New Roman" w:eastAsia="Times New Roman" w:hAnsi="Times New Roman" w:cs="Times New Roman"/>
        </w:rPr>
        <w:t xml:space="preserve">are not certain </w:t>
      </w:r>
      <w:r w:rsidR="49048921" w:rsidRPr="535ACEE3">
        <w:rPr>
          <w:rFonts w:ascii="Times New Roman" w:eastAsia="Times New Roman" w:hAnsi="Times New Roman" w:cs="Times New Roman"/>
        </w:rPr>
        <w:t xml:space="preserve">that </w:t>
      </w:r>
      <w:r w:rsidR="49048921" w:rsidRPr="61BB6277">
        <w:rPr>
          <w:rFonts w:ascii="Times New Roman" w:eastAsia="Times New Roman" w:hAnsi="Times New Roman" w:cs="Times New Roman"/>
        </w:rPr>
        <w:t xml:space="preserve">the </w:t>
      </w:r>
      <w:r w:rsidR="49048921" w:rsidRPr="285F8E86">
        <w:rPr>
          <w:rFonts w:ascii="Times New Roman" w:eastAsia="Times New Roman" w:hAnsi="Times New Roman" w:cs="Times New Roman"/>
        </w:rPr>
        <w:t xml:space="preserve">generator will be earning </w:t>
      </w:r>
      <w:r w:rsidR="03F53D08" w:rsidRPr="1255D09C">
        <w:rPr>
          <w:rFonts w:ascii="Times New Roman" w:eastAsia="Times New Roman" w:hAnsi="Times New Roman" w:cs="Times New Roman"/>
        </w:rPr>
        <w:t>those credits</w:t>
      </w:r>
      <w:r w:rsidR="03F53D08" w:rsidRPr="6395395B">
        <w:rPr>
          <w:rFonts w:ascii="Times New Roman" w:eastAsia="Times New Roman" w:hAnsi="Times New Roman" w:cs="Times New Roman"/>
        </w:rPr>
        <w:t>.</w:t>
      </w:r>
      <w:r w:rsidR="03F53D08" w:rsidRPr="34D4A21B">
        <w:rPr>
          <w:rFonts w:ascii="Times New Roman" w:eastAsia="Times New Roman" w:hAnsi="Times New Roman" w:cs="Times New Roman"/>
        </w:rPr>
        <w:t xml:space="preserve"> </w:t>
      </w:r>
    </w:p>
    <w:p w14:paraId="2E27D848" w14:textId="296DC9E8" w:rsidR="00473B8F" w:rsidRPr="001D1526" w:rsidRDefault="00BB5008" w:rsidP="00362A8F">
      <w:pPr>
        <w:spacing w:after="0" w:line="480" w:lineRule="auto"/>
        <w:jc w:val="both"/>
        <w:textAlignment w:val="center"/>
        <w:rPr>
          <w:rFonts w:ascii="Times New Roman" w:eastAsia="Times New Roman" w:hAnsi="Times New Roman" w:cs="Times New Roman"/>
          <w:b/>
          <w:bCs/>
          <w:sz w:val="24"/>
          <w:szCs w:val="24"/>
        </w:rPr>
      </w:pPr>
      <w:r w:rsidRPr="00BB5008">
        <w:rPr>
          <w:rFonts w:ascii="Times New Roman" w:eastAsia="Times New Roman" w:hAnsi="Times New Roman" w:cs="Times New Roman"/>
          <w:b/>
          <w:bCs/>
          <w:sz w:val="24"/>
          <w:szCs w:val="24"/>
        </w:rPr>
        <w:t>8.</w:t>
      </w:r>
      <w:r>
        <w:rPr>
          <w:rFonts w:ascii="Times New Roman" w:eastAsia="Times New Roman" w:hAnsi="Times New Roman" w:cs="Times New Roman"/>
          <w:b/>
          <w:bCs/>
          <w:sz w:val="24"/>
          <w:szCs w:val="24"/>
        </w:rPr>
        <w:t xml:space="preserve"> </w:t>
      </w:r>
      <w:r w:rsidR="00547748" w:rsidRPr="00BB5008">
        <w:rPr>
          <w:rFonts w:ascii="Times New Roman" w:eastAsia="Times New Roman" w:hAnsi="Times New Roman" w:cs="Times New Roman"/>
          <w:b/>
          <w:bCs/>
          <w:sz w:val="24"/>
          <w:szCs w:val="24"/>
        </w:rPr>
        <w:t>If the commission adopts a market design with a multi-year implementation timeline, is there a need for a short-term “bridge” product or service, like the Backstop Reliability Service, to maintain system reliability equivalent to a 1-in-10 LOLE or another reliability standard</w:t>
      </w:r>
      <w:bookmarkStart w:id="6" w:name="_Int_ZD3lpSaz"/>
      <w:r w:rsidR="1C91A08C" w:rsidRPr="00BB5008">
        <w:rPr>
          <w:rFonts w:ascii="Times New Roman" w:eastAsia="Times New Roman" w:hAnsi="Times New Roman" w:cs="Times New Roman"/>
          <w:b/>
          <w:bCs/>
          <w:sz w:val="24"/>
          <w:szCs w:val="24"/>
        </w:rPr>
        <w:t xml:space="preserve">? </w:t>
      </w:r>
      <w:bookmarkEnd w:id="6"/>
      <w:r w:rsidR="00547748" w:rsidRPr="00BB5008">
        <w:rPr>
          <w:rFonts w:ascii="Times New Roman" w:eastAsia="Times New Roman" w:hAnsi="Times New Roman" w:cs="Times New Roman"/>
          <w:b/>
          <w:bCs/>
          <w:sz w:val="24"/>
          <w:szCs w:val="24"/>
        </w:rPr>
        <w:t>If so, what product or service should be considered?</w:t>
      </w:r>
    </w:p>
    <w:p w14:paraId="04F44BE4" w14:textId="206BA2CA" w:rsidR="00473B8F" w:rsidRPr="006A3968" w:rsidRDefault="004C47B5" w:rsidP="00362A8F">
      <w:pPr>
        <w:spacing w:after="0" w:line="480" w:lineRule="auto"/>
        <w:jc w:val="both"/>
        <w:textAlignment w:val="center"/>
        <w:rPr>
          <w:rFonts w:ascii="Times New Roman" w:eastAsia="Times New Roman" w:hAnsi="Times New Roman" w:cs="Times New Roman"/>
          <w:sz w:val="24"/>
          <w:szCs w:val="24"/>
        </w:rPr>
      </w:pPr>
      <w:r w:rsidRPr="001D1526">
        <w:rPr>
          <w:rFonts w:ascii="Times New Roman" w:eastAsia="Times New Roman" w:hAnsi="Times New Roman" w:cs="Times New Roman"/>
          <w:sz w:val="24"/>
          <w:szCs w:val="24"/>
        </w:rPr>
        <w:t>As discussed above</w:t>
      </w:r>
      <w:r>
        <w:rPr>
          <w:rFonts w:ascii="Times New Roman" w:eastAsia="Times New Roman" w:hAnsi="Times New Roman" w:cs="Times New Roman"/>
          <w:sz w:val="24"/>
          <w:szCs w:val="24"/>
        </w:rPr>
        <w:t xml:space="preserve">, </w:t>
      </w:r>
      <w:r w:rsidR="003C746C">
        <w:rPr>
          <w:rFonts w:ascii="Times New Roman" w:eastAsia="Times New Roman" w:hAnsi="Times New Roman" w:cs="Times New Roman"/>
          <w:sz w:val="24"/>
          <w:szCs w:val="24"/>
        </w:rPr>
        <w:t xml:space="preserve">the ERCOT market </w:t>
      </w:r>
      <w:r w:rsidR="0012472D">
        <w:rPr>
          <w:rFonts w:ascii="Times New Roman" w:eastAsia="Times New Roman" w:hAnsi="Times New Roman" w:cs="Times New Roman"/>
          <w:sz w:val="24"/>
          <w:szCs w:val="24"/>
        </w:rPr>
        <w:t xml:space="preserve">provides sufficient revenue to </w:t>
      </w:r>
      <w:r w:rsidR="000104BA">
        <w:rPr>
          <w:rFonts w:ascii="Times New Roman" w:eastAsia="Times New Roman" w:hAnsi="Times New Roman" w:cs="Times New Roman"/>
          <w:sz w:val="24"/>
          <w:szCs w:val="24"/>
        </w:rPr>
        <w:t xml:space="preserve">incentivize investment in new </w:t>
      </w:r>
      <w:r w:rsidR="00987C55">
        <w:rPr>
          <w:rFonts w:ascii="Times New Roman" w:eastAsia="Times New Roman" w:hAnsi="Times New Roman" w:cs="Times New Roman"/>
          <w:sz w:val="24"/>
          <w:szCs w:val="24"/>
        </w:rPr>
        <w:t>capacity</w:t>
      </w:r>
      <w:r w:rsidR="000104BA">
        <w:rPr>
          <w:rFonts w:ascii="Times New Roman" w:eastAsia="Times New Roman" w:hAnsi="Times New Roman" w:cs="Times New Roman"/>
          <w:sz w:val="24"/>
          <w:szCs w:val="24"/>
        </w:rPr>
        <w:t xml:space="preserve">. </w:t>
      </w:r>
      <w:r w:rsidR="00736938">
        <w:rPr>
          <w:rFonts w:ascii="Times New Roman" w:eastAsia="Times New Roman" w:hAnsi="Times New Roman" w:cs="Times New Roman"/>
          <w:sz w:val="24"/>
          <w:szCs w:val="24"/>
        </w:rPr>
        <w:t xml:space="preserve"> However, the ERCOT market </w:t>
      </w:r>
      <w:r w:rsidR="003C62D8">
        <w:rPr>
          <w:rFonts w:ascii="Times New Roman" w:eastAsia="Times New Roman" w:hAnsi="Times New Roman" w:cs="Times New Roman"/>
          <w:sz w:val="24"/>
          <w:szCs w:val="24"/>
        </w:rPr>
        <w:t xml:space="preserve">faces several operational challenges that could be addressed by adopting a new reserve product, the DRRS, which could be implemented much more quickly than the multi-year time horizon required for more complex market design changes like the PCM. Therefore, Pine Gate does not believe that a bridge product is needed. However, </w:t>
      </w:r>
      <w:r w:rsidR="000104BA">
        <w:rPr>
          <w:rFonts w:ascii="Times New Roman" w:eastAsia="Times New Roman" w:hAnsi="Times New Roman" w:cs="Times New Roman"/>
          <w:sz w:val="24"/>
          <w:szCs w:val="24"/>
        </w:rPr>
        <w:t xml:space="preserve">if the Commission concludes that </w:t>
      </w:r>
      <w:r w:rsidR="003C62D8">
        <w:rPr>
          <w:rFonts w:ascii="Times New Roman" w:eastAsia="Times New Roman" w:hAnsi="Times New Roman" w:cs="Times New Roman"/>
          <w:sz w:val="24"/>
          <w:szCs w:val="24"/>
        </w:rPr>
        <w:t>there is insufficient capacity on an interim basis</w:t>
      </w:r>
      <w:r w:rsidR="00C85DC2">
        <w:rPr>
          <w:rFonts w:ascii="Times New Roman" w:eastAsia="Times New Roman" w:hAnsi="Times New Roman" w:cs="Times New Roman"/>
          <w:sz w:val="24"/>
          <w:szCs w:val="24"/>
        </w:rPr>
        <w:t>, then</w:t>
      </w:r>
      <w:r w:rsidR="00FE413E">
        <w:rPr>
          <w:rFonts w:ascii="Times New Roman" w:eastAsia="Times New Roman" w:hAnsi="Times New Roman" w:cs="Times New Roman"/>
          <w:sz w:val="24"/>
          <w:szCs w:val="24"/>
        </w:rPr>
        <w:t xml:space="preserve"> Pine Gate believes that the RMR construct described by the DRRS Coalition is preferable the BRS construct modeled by E3 because the DRRS RMR </w:t>
      </w:r>
      <w:r w:rsidR="00117878">
        <w:rPr>
          <w:rFonts w:ascii="Times New Roman" w:eastAsia="Times New Roman" w:hAnsi="Times New Roman" w:cs="Times New Roman"/>
          <w:sz w:val="24"/>
          <w:szCs w:val="24"/>
        </w:rPr>
        <w:t xml:space="preserve">proposal would </w:t>
      </w:r>
      <w:r w:rsidR="00A95BB4">
        <w:rPr>
          <w:rFonts w:ascii="Times New Roman" w:eastAsia="Times New Roman" w:hAnsi="Times New Roman" w:cs="Times New Roman"/>
          <w:sz w:val="24"/>
          <w:szCs w:val="24"/>
        </w:rPr>
        <w:t xml:space="preserve">be more limited and temporary, and thus </w:t>
      </w:r>
      <w:r w:rsidR="001D1526">
        <w:rPr>
          <w:rFonts w:ascii="Times New Roman" w:eastAsia="Times New Roman" w:hAnsi="Times New Roman" w:cs="Times New Roman"/>
          <w:sz w:val="24"/>
          <w:szCs w:val="24"/>
        </w:rPr>
        <w:t xml:space="preserve">have a more limited impact on the ERCOT market. </w:t>
      </w:r>
    </w:p>
    <w:p w14:paraId="662E31C1" w14:textId="309FDB33" w:rsidR="00515799" w:rsidRPr="00EC0702" w:rsidRDefault="00EC0702" w:rsidP="00EC0702">
      <w:pPr>
        <w:spacing w:line="480" w:lineRule="auto"/>
        <w:jc w:val="both"/>
        <w:rPr>
          <w:rFonts w:ascii="Times New Roman" w:hAnsi="Times New Roman" w:cs="Times New Roman"/>
          <w:b/>
          <w:bCs/>
          <w:sz w:val="24"/>
          <w:szCs w:val="24"/>
        </w:rPr>
      </w:pPr>
      <w:r>
        <w:rPr>
          <w:rFonts w:ascii="Times New Roman" w:hAnsi="Times New Roman"/>
          <w:b/>
          <w:bCs/>
          <w:sz w:val="24"/>
          <w:szCs w:val="24"/>
        </w:rPr>
        <w:t xml:space="preserve">12. </w:t>
      </w:r>
      <w:r w:rsidR="006F01CD" w:rsidRPr="00EC0702">
        <w:rPr>
          <w:rFonts w:ascii="Times New Roman" w:hAnsi="Times New Roman"/>
          <w:b/>
          <w:bCs/>
          <w:sz w:val="24"/>
          <w:szCs w:val="24"/>
        </w:rPr>
        <w:t xml:space="preserve">In what ways could the Dispatchable Energy Credit (DEC) design be modified through quantity and resource </w:t>
      </w:r>
      <w:r w:rsidR="006F01CD" w:rsidRPr="00EC0702">
        <w:rPr>
          <w:rFonts w:ascii="Times New Roman" w:hAnsi="Times New Roman" w:cs="Times New Roman"/>
          <w:b/>
          <w:bCs/>
          <w:sz w:val="24"/>
          <w:szCs w:val="24"/>
        </w:rPr>
        <w:t xml:space="preserve">eligibility requirements, </w:t>
      </w:r>
      <w:r w:rsidR="203065BD" w:rsidRPr="00EC0702">
        <w:rPr>
          <w:rFonts w:ascii="Times New Roman" w:hAnsi="Times New Roman" w:cs="Times New Roman"/>
          <w:b/>
          <w:bCs/>
          <w:sz w:val="24"/>
          <w:szCs w:val="24"/>
        </w:rPr>
        <w:t>e.g.,</w:t>
      </w:r>
      <w:r w:rsidR="006F01CD" w:rsidRPr="00EC0702">
        <w:rPr>
          <w:rFonts w:ascii="Times New Roman" w:hAnsi="Times New Roman" w:cs="Times New Roman"/>
          <w:b/>
          <w:bCs/>
          <w:sz w:val="24"/>
          <w:szCs w:val="24"/>
        </w:rPr>
        <w:t xml:space="preserve"> </w:t>
      </w:r>
      <w:bookmarkStart w:id="7" w:name="_Int_WrTUQGzj"/>
      <w:r w:rsidR="006F01CD" w:rsidRPr="00EC0702">
        <w:rPr>
          <w:rFonts w:ascii="Times New Roman" w:hAnsi="Times New Roman" w:cs="Times New Roman"/>
          <w:b/>
          <w:bCs/>
          <w:sz w:val="24"/>
          <w:szCs w:val="24"/>
        </w:rPr>
        <w:t>new technology</w:t>
      </w:r>
      <w:bookmarkEnd w:id="7"/>
      <w:r w:rsidR="006F01CD" w:rsidRPr="00EC0702">
        <w:rPr>
          <w:rFonts w:ascii="Times New Roman" w:hAnsi="Times New Roman" w:cs="Times New Roman"/>
          <w:b/>
          <w:bCs/>
          <w:sz w:val="24"/>
          <w:szCs w:val="24"/>
        </w:rPr>
        <w:t xml:space="preserve"> such as small modular nuclear reactors, in such a way that it incentivizes new and dispatchable generation?</w:t>
      </w:r>
    </w:p>
    <w:p w14:paraId="7E11A256" w14:textId="5E6C00BD" w:rsidR="00515799" w:rsidRPr="00547748" w:rsidRDefault="003254E2" w:rsidP="00362A8F">
      <w:pPr>
        <w:spacing w:line="480" w:lineRule="auto"/>
        <w:jc w:val="both"/>
        <w:textAlignment w:val="center"/>
        <w:rPr>
          <w:rFonts w:ascii="Times New Roman" w:eastAsia="Times New Roman" w:hAnsi="Times New Roman" w:cs="Times New Roman"/>
        </w:rPr>
      </w:pPr>
      <w:r w:rsidRPr="00FE5F59">
        <w:rPr>
          <w:rFonts w:ascii="Times New Roman" w:hAnsi="Times New Roman" w:cs="Times New Roman"/>
          <w:sz w:val="24"/>
          <w:szCs w:val="24"/>
        </w:rPr>
        <w:t xml:space="preserve">Pine Gate supports the comments made by APA </w:t>
      </w:r>
      <w:r w:rsidR="000B059E">
        <w:rPr>
          <w:rFonts w:ascii="Times New Roman" w:hAnsi="Times New Roman" w:cs="Times New Roman"/>
          <w:sz w:val="24"/>
          <w:szCs w:val="24"/>
        </w:rPr>
        <w:t xml:space="preserve">and ACP </w:t>
      </w:r>
      <w:r w:rsidR="003B60DE" w:rsidRPr="00FE5F59">
        <w:rPr>
          <w:rFonts w:ascii="Times New Roman" w:hAnsi="Times New Roman" w:cs="Times New Roman"/>
          <w:sz w:val="24"/>
          <w:szCs w:val="24"/>
        </w:rPr>
        <w:t>regarding the DEC design</w:t>
      </w:r>
      <w:r w:rsidR="003C1FD0" w:rsidRPr="00FE5F59">
        <w:rPr>
          <w:rFonts w:ascii="Times New Roman" w:hAnsi="Times New Roman" w:cs="Times New Roman"/>
          <w:sz w:val="24"/>
          <w:szCs w:val="24"/>
        </w:rPr>
        <w:t xml:space="preserve"> and reiterates that the dispatchable energy credit design </w:t>
      </w:r>
      <w:r w:rsidR="001D7E32" w:rsidRPr="00FE5F59">
        <w:rPr>
          <w:rFonts w:ascii="Times New Roman" w:hAnsi="Times New Roman" w:cs="Times New Roman"/>
          <w:sz w:val="24"/>
          <w:szCs w:val="24"/>
        </w:rPr>
        <w:t xml:space="preserve">should be evaluated </w:t>
      </w:r>
      <w:r w:rsidR="00DB33D6">
        <w:rPr>
          <w:rFonts w:ascii="Times New Roman" w:hAnsi="Times New Roman" w:cs="Times New Roman"/>
          <w:sz w:val="24"/>
          <w:szCs w:val="24"/>
        </w:rPr>
        <w:t xml:space="preserve">with eligibility criteria that reflect all of the dispatchable resources on the system include batteries. </w:t>
      </w:r>
      <w:r w:rsidR="0084081E">
        <w:rPr>
          <w:rFonts w:ascii="Times New Roman" w:hAnsi="Times New Roman" w:cs="Times New Roman"/>
          <w:sz w:val="24"/>
          <w:szCs w:val="24"/>
        </w:rPr>
        <w:t xml:space="preserve">Pine Gate also adds that the E3 Report demonstrated a high loss of load probability on some winter </w:t>
      </w:r>
      <w:r w:rsidR="0084081E" w:rsidRPr="00FE5F59">
        <w:rPr>
          <w:rFonts w:ascii="Times New Roman" w:hAnsi="Times New Roman" w:cs="Times New Roman"/>
          <w:sz w:val="24"/>
          <w:szCs w:val="24"/>
        </w:rPr>
        <w:t>mornings</w:t>
      </w:r>
      <w:r w:rsidR="00622694">
        <w:rPr>
          <w:rFonts w:ascii="Times New Roman" w:hAnsi="Times New Roman" w:cs="Times New Roman"/>
          <w:sz w:val="24"/>
          <w:szCs w:val="24"/>
        </w:rPr>
        <w:t xml:space="preserve"> and therefore, the eligibility criteria that </w:t>
      </w:r>
      <w:r w:rsidR="00FE5F59">
        <w:rPr>
          <w:rFonts w:ascii="Times New Roman" w:hAnsi="Times New Roman" w:cs="Times New Roman"/>
          <w:sz w:val="24"/>
          <w:szCs w:val="24"/>
        </w:rPr>
        <w:t xml:space="preserve">limits </w:t>
      </w:r>
      <w:r w:rsidR="00622694">
        <w:rPr>
          <w:rFonts w:ascii="Times New Roman" w:hAnsi="Times New Roman" w:cs="Times New Roman"/>
          <w:sz w:val="24"/>
          <w:szCs w:val="24"/>
        </w:rPr>
        <w:t>DEC</w:t>
      </w:r>
      <w:r w:rsidR="00FE5F59">
        <w:rPr>
          <w:rFonts w:ascii="Times New Roman" w:hAnsi="Times New Roman" w:cs="Times New Roman"/>
          <w:sz w:val="24"/>
          <w:szCs w:val="24"/>
        </w:rPr>
        <w:t>s</w:t>
      </w:r>
      <w:r w:rsidR="00622694">
        <w:rPr>
          <w:rFonts w:ascii="Times New Roman" w:hAnsi="Times New Roman" w:cs="Times New Roman"/>
          <w:sz w:val="24"/>
          <w:szCs w:val="24"/>
        </w:rPr>
        <w:t xml:space="preserve"> </w:t>
      </w:r>
      <w:r w:rsidR="00FE5F59">
        <w:rPr>
          <w:rFonts w:ascii="Times New Roman" w:hAnsi="Times New Roman" w:cs="Times New Roman"/>
          <w:sz w:val="24"/>
          <w:szCs w:val="24"/>
        </w:rPr>
        <w:t>the evenings is overly restrictive.</w:t>
      </w:r>
      <w:r w:rsidR="0084081E">
        <w:rPr>
          <w:rStyle w:val="FootnoteReference"/>
          <w:rFonts w:ascii="Times New Roman" w:hAnsi="Times New Roman" w:cs="Times New Roman"/>
          <w:i/>
          <w:iCs/>
          <w:sz w:val="24"/>
          <w:szCs w:val="24"/>
        </w:rPr>
        <w:footnoteReference w:id="28"/>
      </w:r>
    </w:p>
    <w:p w14:paraId="7E4E4C4D" w14:textId="77777777" w:rsidR="00547748" w:rsidRDefault="00547748" w:rsidP="00BE3724">
      <w:pPr>
        <w:pStyle w:val="NormalWeb"/>
        <w:spacing w:before="0" w:beforeAutospacing="0" w:after="0" w:afterAutospacing="0" w:line="480" w:lineRule="auto"/>
        <w:jc w:val="both"/>
      </w:pPr>
    </w:p>
    <w:p w14:paraId="5420D199" w14:textId="77777777" w:rsidR="00BE3724" w:rsidRDefault="00BE3724" w:rsidP="00BE3724">
      <w:pPr>
        <w:spacing w:line="360" w:lineRule="auto"/>
        <w:ind w:firstLine="720"/>
      </w:pPr>
      <w:r>
        <w:t xml:space="preserve">Respectfully submitted, </w:t>
      </w:r>
    </w:p>
    <w:p w14:paraId="0A15BB9E" w14:textId="5B9C3612" w:rsidR="00BE3724" w:rsidRDefault="00BE3724" w:rsidP="00BE3724">
      <w:pPr>
        <w:spacing w:after="0" w:line="360" w:lineRule="auto"/>
        <w:rPr>
          <w:u w:val="single"/>
        </w:rPr>
      </w:pPr>
      <w:r>
        <w:tab/>
      </w:r>
      <w:r>
        <w:tab/>
      </w:r>
      <w:r>
        <w:tab/>
      </w:r>
      <w:r>
        <w:tab/>
      </w:r>
      <w:r>
        <w:tab/>
      </w:r>
      <w:r>
        <w:tab/>
      </w:r>
      <w:r w:rsidRPr="001E1EDC">
        <w:rPr>
          <w:u w:val="single"/>
        </w:rPr>
        <w:t>_</w:t>
      </w:r>
      <w:r w:rsidRPr="001E1EDC">
        <w:rPr>
          <w:i/>
          <w:iCs/>
          <w:u w:val="single"/>
        </w:rPr>
        <w:t xml:space="preserve">/s/ </w:t>
      </w:r>
      <w:r>
        <w:rPr>
          <w:i/>
          <w:iCs/>
          <w:u w:val="single"/>
        </w:rPr>
        <w:t>Frank Swigonski</w:t>
      </w:r>
      <w:r w:rsidRPr="001E1EDC">
        <w:rPr>
          <w:u w:val="single"/>
        </w:rPr>
        <w:t>____________</w:t>
      </w:r>
    </w:p>
    <w:p w14:paraId="7ECB587D" w14:textId="5C74D055" w:rsidR="00BE3724" w:rsidRPr="001E1EDC" w:rsidRDefault="00BE3724" w:rsidP="00BE3724">
      <w:pPr>
        <w:spacing w:after="0" w:line="240" w:lineRule="auto"/>
      </w:pPr>
      <w:r>
        <w:tab/>
      </w:r>
      <w:r>
        <w:tab/>
      </w:r>
      <w:r>
        <w:tab/>
      </w:r>
      <w:r>
        <w:tab/>
      </w:r>
      <w:r>
        <w:tab/>
      </w:r>
      <w:r>
        <w:tab/>
        <w:t>Frank Swigonski</w:t>
      </w:r>
    </w:p>
    <w:p w14:paraId="5A0EA72C" w14:textId="0A59253E" w:rsidR="00BE3724" w:rsidRPr="001E1EDC" w:rsidRDefault="00BE3724" w:rsidP="00BE3724">
      <w:pPr>
        <w:spacing w:after="0" w:line="240" w:lineRule="auto"/>
      </w:pPr>
      <w:r w:rsidRPr="001E1EDC">
        <w:tab/>
      </w:r>
      <w:r w:rsidRPr="001E1EDC">
        <w:tab/>
      </w:r>
      <w:r w:rsidRPr="001E1EDC">
        <w:tab/>
      </w:r>
      <w:r w:rsidRPr="001E1EDC">
        <w:tab/>
      </w:r>
      <w:r w:rsidRPr="001E1EDC">
        <w:tab/>
      </w:r>
      <w:r w:rsidRPr="001E1EDC">
        <w:tab/>
      </w:r>
      <w:r>
        <w:t>Director</w:t>
      </w:r>
      <w:r w:rsidRPr="001E1EDC">
        <w:t xml:space="preserve">, </w:t>
      </w:r>
      <w:r>
        <w:t xml:space="preserve">ISO/RTO Affairs </w:t>
      </w:r>
    </w:p>
    <w:p w14:paraId="7F30353F" w14:textId="1B39B663" w:rsidR="00BE3724" w:rsidRPr="001E1EDC" w:rsidRDefault="00BE3724" w:rsidP="00BE3724">
      <w:pPr>
        <w:spacing w:after="0" w:line="240" w:lineRule="auto"/>
      </w:pPr>
      <w:r w:rsidRPr="001E1EDC">
        <w:tab/>
      </w:r>
      <w:r w:rsidRPr="001E1EDC">
        <w:tab/>
      </w:r>
      <w:r w:rsidRPr="001E1EDC">
        <w:tab/>
      </w:r>
      <w:r w:rsidRPr="001E1EDC">
        <w:tab/>
      </w:r>
      <w:r w:rsidRPr="001E1EDC">
        <w:tab/>
      </w:r>
      <w:r w:rsidRPr="001E1EDC">
        <w:tab/>
      </w:r>
      <w:r>
        <w:t>Pine Gate Renewables</w:t>
      </w:r>
      <w:r w:rsidR="00630C08">
        <w:t xml:space="preserve">, LLC </w:t>
      </w:r>
    </w:p>
    <w:p w14:paraId="7777B229" w14:textId="7BD87DCF" w:rsidR="00BE3724" w:rsidRPr="001E1EDC" w:rsidRDefault="00BE3724" w:rsidP="00BE3724">
      <w:pPr>
        <w:spacing w:after="0" w:line="240" w:lineRule="auto"/>
      </w:pPr>
      <w:r w:rsidRPr="001E1EDC">
        <w:tab/>
      </w:r>
      <w:r w:rsidRPr="001E1EDC">
        <w:tab/>
      </w:r>
      <w:r w:rsidRPr="001E1EDC">
        <w:tab/>
      </w:r>
      <w:r w:rsidRPr="001E1EDC">
        <w:tab/>
      </w:r>
      <w:r w:rsidRPr="001E1EDC">
        <w:tab/>
      </w:r>
      <w:r w:rsidRPr="001E1EDC">
        <w:tab/>
        <w:t>Direct: (</w:t>
      </w:r>
      <w:r w:rsidR="009A1CC5">
        <w:t>623</w:t>
      </w:r>
      <w:r w:rsidRPr="001E1EDC">
        <w:t xml:space="preserve">) </w:t>
      </w:r>
      <w:r w:rsidR="009A1CC5">
        <w:t>202</w:t>
      </w:r>
      <w:r w:rsidRPr="001E1EDC">
        <w:t>-</w:t>
      </w:r>
      <w:r w:rsidR="009A1CC5">
        <w:t>3748</w:t>
      </w:r>
    </w:p>
    <w:p w14:paraId="45FACDE6" w14:textId="4DD5C662" w:rsidR="00BE3724" w:rsidRPr="001E1EDC" w:rsidRDefault="00BE3724" w:rsidP="00BE3724">
      <w:pPr>
        <w:spacing w:after="0" w:line="240" w:lineRule="auto"/>
      </w:pPr>
      <w:r w:rsidRPr="001E1EDC">
        <w:tab/>
      </w:r>
      <w:r w:rsidRPr="001E1EDC">
        <w:tab/>
      </w:r>
      <w:r w:rsidRPr="001E1EDC">
        <w:tab/>
      </w:r>
      <w:r w:rsidRPr="001E1EDC">
        <w:tab/>
      </w:r>
      <w:r w:rsidRPr="001E1EDC">
        <w:tab/>
      </w:r>
      <w:r w:rsidRPr="001E1EDC">
        <w:tab/>
        <w:t xml:space="preserve">Email: </w:t>
      </w:r>
      <w:r w:rsidR="009A1CC5">
        <w:t>Frank.Swigonski@PGRenewables.com</w:t>
      </w:r>
    </w:p>
    <w:p w14:paraId="2D168609" w14:textId="163259F3" w:rsidR="00BE3724" w:rsidRPr="00163DAB" w:rsidRDefault="00BE3724" w:rsidP="00BE3724">
      <w:pPr>
        <w:pStyle w:val="NormalWeb"/>
        <w:spacing w:before="0" w:beforeAutospacing="0" w:after="0" w:afterAutospacing="0" w:line="480" w:lineRule="auto"/>
        <w:jc w:val="both"/>
      </w:pPr>
    </w:p>
    <w:sectPr w:rsidR="00BE3724" w:rsidRPr="00163DAB" w:rsidSect="00335240">
      <w:footerReference w:type="defaul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62692" w14:textId="77777777" w:rsidR="00F7777E" w:rsidRDefault="00F7777E" w:rsidP="000A62C5">
      <w:pPr>
        <w:spacing w:after="0" w:line="240" w:lineRule="auto"/>
      </w:pPr>
      <w:r>
        <w:separator/>
      </w:r>
    </w:p>
  </w:endnote>
  <w:endnote w:type="continuationSeparator" w:id="0">
    <w:p w14:paraId="23C8FECE" w14:textId="77777777" w:rsidR="00F7777E" w:rsidRDefault="00F7777E" w:rsidP="000A62C5">
      <w:pPr>
        <w:spacing w:after="0" w:line="240" w:lineRule="auto"/>
      </w:pPr>
      <w:r>
        <w:continuationSeparator/>
      </w:r>
    </w:p>
  </w:endnote>
  <w:endnote w:type="continuationNotice" w:id="1">
    <w:p w14:paraId="73EAB8D2" w14:textId="77777777" w:rsidR="00F7777E" w:rsidRDefault="00F777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2A833368" w14:paraId="01772765" w14:textId="77777777" w:rsidTr="2A833368">
      <w:tc>
        <w:tcPr>
          <w:tcW w:w="3120" w:type="dxa"/>
        </w:tcPr>
        <w:p w14:paraId="1128EA1F" w14:textId="7E12B3DC" w:rsidR="2A833368" w:rsidRDefault="2A833368" w:rsidP="2A833368">
          <w:pPr>
            <w:pStyle w:val="Header"/>
            <w:ind w:left="-115"/>
          </w:pPr>
        </w:p>
      </w:tc>
      <w:tc>
        <w:tcPr>
          <w:tcW w:w="3120" w:type="dxa"/>
        </w:tcPr>
        <w:p w14:paraId="2B28FF34" w14:textId="38090198" w:rsidR="2A833368" w:rsidRDefault="2A833368" w:rsidP="2A833368">
          <w:pPr>
            <w:pStyle w:val="Header"/>
            <w:jc w:val="center"/>
          </w:pPr>
        </w:p>
      </w:tc>
      <w:tc>
        <w:tcPr>
          <w:tcW w:w="3120" w:type="dxa"/>
        </w:tcPr>
        <w:p w14:paraId="4F09E412" w14:textId="3F9D771D" w:rsidR="2A833368" w:rsidRDefault="2A833368" w:rsidP="2A833368">
          <w:pPr>
            <w:pStyle w:val="Header"/>
            <w:ind w:right="-115"/>
            <w:jc w:val="right"/>
          </w:pPr>
        </w:p>
      </w:tc>
    </w:tr>
  </w:tbl>
  <w:p w14:paraId="6CDFF24E" w14:textId="17C6991F" w:rsidR="2A833368" w:rsidRDefault="2A833368" w:rsidP="2A8333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2A833368" w14:paraId="06A726F2" w14:textId="77777777" w:rsidTr="2A833368">
      <w:tc>
        <w:tcPr>
          <w:tcW w:w="3120" w:type="dxa"/>
        </w:tcPr>
        <w:p w14:paraId="6BBFA709" w14:textId="3C4CCEA3" w:rsidR="2A833368" w:rsidRDefault="2A833368" w:rsidP="2A833368">
          <w:pPr>
            <w:pStyle w:val="Header"/>
            <w:ind w:left="-115"/>
          </w:pPr>
        </w:p>
      </w:tc>
      <w:tc>
        <w:tcPr>
          <w:tcW w:w="3120" w:type="dxa"/>
        </w:tcPr>
        <w:p w14:paraId="5E5D2F2B" w14:textId="631B2C96" w:rsidR="2A833368" w:rsidRDefault="2A833368" w:rsidP="2A833368">
          <w:pPr>
            <w:pStyle w:val="Header"/>
            <w:jc w:val="center"/>
          </w:pPr>
        </w:p>
      </w:tc>
      <w:tc>
        <w:tcPr>
          <w:tcW w:w="3120" w:type="dxa"/>
        </w:tcPr>
        <w:p w14:paraId="33D01321" w14:textId="5BB4A851" w:rsidR="2A833368" w:rsidRDefault="2A833368" w:rsidP="2A833368">
          <w:pPr>
            <w:pStyle w:val="Header"/>
            <w:ind w:right="-115"/>
            <w:jc w:val="right"/>
          </w:pPr>
        </w:p>
      </w:tc>
    </w:tr>
  </w:tbl>
  <w:p w14:paraId="75B01113" w14:textId="2B9AD4F3" w:rsidR="2A833368" w:rsidRDefault="2A833368" w:rsidP="2A8333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2A833368" w14:paraId="256F4288" w14:textId="77777777" w:rsidTr="2A833368">
      <w:tc>
        <w:tcPr>
          <w:tcW w:w="3120" w:type="dxa"/>
        </w:tcPr>
        <w:p w14:paraId="7CA7D42A" w14:textId="4D099229" w:rsidR="2A833368" w:rsidRDefault="2A833368" w:rsidP="2A833368">
          <w:pPr>
            <w:pStyle w:val="Header"/>
            <w:ind w:left="-115"/>
          </w:pPr>
        </w:p>
      </w:tc>
      <w:tc>
        <w:tcPr>
          <w:tcW w:w="3120" w:type="dxa"/>
        </w:tcPr>
        <w:p w14:paraId="5A1D131A" w14:textId="63A65E44" w:rsidR="2A833368" w:rsidRDefault="2A833368" w:rsidP="2A833368">
          <w:pPr>
            <w:pStyle w:val="Header"/>
            <w:jc w:val="center"/>
          </w:pPr>
        </w:p>
      </w:tc>
      <w:tc>
        <w:tcPr>
          <w:tcW w:w="3120" w:type="dxa"/>
        </w:tcPr>
        <w:p w14:paraId="1D56052F" w14:textId="76E2F604" w:rsidR="2A833368" w:rsidRDefault="2A833368" w:rsidP="2A833368">
          <w:pPr>
            <w:pStyle w:val="Header"/>
            <w:ind w:right="-115"/>
            <w:jc w:val="right"/>
          </w:pPr>
        </w:p>
      </w:tc>
    </w:tr>
  </w:tbl>
  <w:p w14:paraId="36D4020C" w14:textId="086BF1F7" w:rsidR="2A833368" w:rsidRDefault="2A833368" w:rsidP="2A8333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106D5" w14:textId="77777777" w:rsidR="00F7777E" w:rsidRDefault="00F7777E" w:rsidP="000A62C5">
      <w:pPr>
        <w:spacing w:after="0" w:line="240" w:lineRule="auto"/>
      </w:pPr>
      <w:r>
        <w:separator/>
      </w:r>
    </w:p>
  </w:footnote>
  <w:footnote w:type="continuationSeparator" w:id="0">
    <w:p w14:paraId="7066DC6C" w14:textId="77777777" w:rsidR="00F7777E" w:rsidRDefault="00F7777E" w:rsidP="000A62C5">
      <w:pPr>
        <w:spacing w:after="0" w:line="240" w:lineRule="auto"/>
      </w:pPr>
      <w:r>
        <w:continuationSeparator/>
      </w:r>
    </w:p>
  </w:footnote>
  <w:footnote w:type="continuationNotice" w:id="1">
    <w:p w14:paraId="1E6D6E9C" w14:textId="77777777" w:rsidR="00F7777E" w:rsidRDefault="00F7777E">
      <w:pPr>
        <w:spacing w:after="0" w:line="240" w:lineRule="auto"/>
      </w:pPr>
    </w:p>
  </w:footnote>
  <w:footnote w:id="2">
    <w:p w14:paraId="04E106B7" w14:textId="5053BED2" w:rsidR="0030529C" w:rsidRPr="00523762" w:rsidRDefault="0030529C">
      <w:pPr>
        <w:pStyle w:val="FootnoteText"/>
        <w:rPr>
          <w:rFonts w:ascii="Times New Roman" w:hAnsi="Times New Roman" w:cs="Times New Roman"/>
          <w:sz w:val="24"/>
          <w:szCs w:val="24"/>
        </w:rPr>
      </w:pPr>
      <w:r w:rsidRPr="00523762">
        <w:rPr>
          <w:rStyle w:val="FootnoteReference"/>
          <w:rFonts w:ascii="Times New Roman" w:hAnsi="Times New Roman" w:cs="Times New Roman"/>
          <w:sz w:val="24"/>
          <w:szCs w:val="24"/>
        </w:rPr>
        <w:footnoteRef/>
      </w:r>
      <w:r w:rsidRPr="00523762">
        <w:rPr>
          <w:rFonts w:ascii="Times New Roman" w:hAnsi="Times New Roman" w:cs="Times New Roman"/>
          <w:sz w:val="24"/>
          <w:szCs w:val="24"/>
        </w:rPr>
        <w:t xml:space="preserve"> </w:t>
      </w:r>
      <w:r w:rsidR="00100233">
        <w:rPr>
          <w:rFonts w:ascii="Times New Roman" w:hAnsi="Times New Roman" w:cs="Times New Roman"/>
          <w:sz w:val="24"/>
          <w:szCs w:val="24"/>
        </w:rPr>
        <w:t xml:space="preserve">E3, </w:t>
      </w:r>
      <w:r w:rsidRPr="00100233">
        <w:rPr>
          <w:rFonts w:ascii="Times New Roman" w:hAnsi="Times New Roman" w:cs="Times New Roman"/>
          <w:i/>
          <w:iCs/>
          <w:sz w:val="24"/>
          <w:szCs w:val="24"/>
        </w:rPr>
        <w:t>Assessment of Market Reform Options to Enhance Reliability of the ERCOT System</w:t>
      </w:r>
      <w:r w:rsidR="000D1EB5" w:rsidRPr="00523762">
        <w:rPr>
          <w:rFonts w:ascii="Times New Roman" w:hAnsi="Times New Roman" w:cs="Times New Roman"/>
          <w:sz w:val="24"/>
          <w:szCs w:val="24"/>
        </w:rPr>
        <w:t>, Docket No. 54335-2 (Nov. 10, 2022) (</w:t>
      </w:r>
      <w:r w:rsidRPr="00523762">
        <w:rPr>
          <w:rFonts w:ascii="Times New Roman" w:hAnsi="Times New Roman" w:cs="Times New Roman"/>
          <w:sz w:val="24"/>
          <w:szCs w:val="24"/>
        </w:rPr>
        <w:t>E3 Report</w:t>
      </w:r>
      <w:r w:rsidR="000D1EB5" w:rsidRPr="00523762">
        <w:rPr>
          <w:rFonts w:ascii="Times New Roman" w:hAnsi="Times New Roman" w:cs="Times New Roman"/>
          <w:sz w:val="24"/>
          <w:szCs w:val="24"/>
        </w:rPr>
        <w:t>).</w:t>
      </w:r>
    </w:p>
  </w:footnote>
  <w:footnote w:id="3">
    <w:p w14:paraId="79F794A7" w14:textId="32C034A5" w:rsidR="00154A9B" w:rsidRPr="00B7665D" w:rsidRDefault="00154A9B">
      <w:pPr>
        <w:pStyle w:val="FootnoteText"/>
        <w:rPr>
          <w:rFonts w:ascii="Times New Roman" w:hAnsi="Times New Roman" w:cs="Times New Roman"/>
          <w:sz w:val="24"/>
          <w:szCs w:val="24"/>
        </w:rPr>
      </w:pPr>
      <w:r w:rsidRPr="00B7665D">
        <w:rPr>
          <w:rStyle w:val="FootnoteReference"/>
          <w:rFonts w:ascii="Times New Roman" w:hAnsi="Times New Roman" w:cs="Times New Roman"/>
          <w:sz w:val="24"/>
          <w:szCs w:val="24"/>
        </w:rPr>
        <w:footnoteRef/>
      </w:r>
      <w:r w:rsidRPr="00B7665D">
        <w:rPr>
          <w:rFonts w:ascii="Times New Roman" w:hAnsi="Times New Roman" w:cs="Times New Roman"/>
          <w:sz w:val="24"/>
          <w:szCs w:val="24"/>
        </w:rPr>
        <w:t xml:space="preserve"> </w:t>
      </w:r>
      <w:r w:rsidR="00D36335">
        <w:rPr>
          <w:rFonts w:ascii="Times New Roman" w:hAnsi="Times New Roman" w:cs="Times New Roman"/>
          <w:sz w:val="24"/>
          <w:szCs w:val="24"/>
        </w:rPr>
        <w:t xml:space="preserve">Commission </w:t>
      </w:r>
      <w:r w:rsidR="00D36335" w:rsidRPr="00D36335">
        <w:rPr>
          <w:rFonts w:ascii="Times New Roman" w:hAnsi="Times New Roman" w:cs="Times New Roman"/>
          <w:sz w:val="24"/>
          <w:szCs w:val="24"/>
        </w:rPr>
        <w:t xml:space="preserve">and ERCOT Press Conference (Nov. 29, 2022), available at: </w:t>
      </w:r>
      <w:hyperlink r:id="rId1" w:history="1">
        <w:r w:rsidR="00D36335" w:rsidRPr="009513FF">
          <w:rPr>
            <w:rStyle w:val="Hyperlink"/>
            <w:rFonts w:ascii="Times New Roman" w:hAnsi="Times New Roman" w:cs="Times New Roman"/>
            <w:sz w:val="24"/>
            <w:szCs w:val="24"/>
          </w:rPr>
          <w:t>https://www.kcbd.com/2022/11/29/live-officials-discuss-ercot-winter-power-grid-preparations/</w:t>
        </w:r>
      </w:hyperlink>
      <w:r w:rsidR="00D36335">
        <w:rPr>
          <w:rFonts w:ascii="Times New Roman" w:hAnsi="Times New Roman" w:cs="Times New Roman"/>
          <w:sz w:val="24"/>
          <w:szCs w:val="24"/>
        </w:rPr>
        <w:t xml:space="preserve">. </w:t>
      </w:r>
    </w:p>
  </w:footnote>
  <w:footnote w:id="4">
    <w:p w14:paraId="5BB4575D" w14:textId="347A490D" w:rsidR="002900C9" w:rsidRPr="00B7665D" w:rsidRDefault="002900C9" w:rsidP="002900C9">
      <w:pPr>
        <w:pStyle w:val="FootnoteText"/>
        <w:rPr>
          <w:rFonts w:ascii="Times New Roman" w:hAnsi="Times New Roman" w:cs="Times New Roman"/>
          <w:sz w:val="24"/>
          <w:szCs w:val="24"/>
        </w:rPr>
      </w:pPr>
      <w:r w:rsidRPr="00B7665D">
        <w:rPr>
          <w:rStyle w:val="FootnoteReference"/>
          <w:rFonts w:ascii="Times New Roman" w:hAnsi="Times New Roman" w:cs="Times New Roman"/>
          <w:sz w:val="24"/>
          <w:szCs w:val="24"/>
        </w:rPr>
        <w:footnoteRef/>
      </w:r>
      <w:r w:rsidRPr="00B7665D">
        <w:rPr>
          <w:rFonts w:ascii="Times New Roman" w:hAnsi="Times New Roman" w:cs="Times New Roman"/>
          <w:sz w:val="24"/>
          <w:szCs w:val="24"/>
        </w:rPr>
        <w:t xml:space="preserve"> </w:t>
      </w:r>
      <w:r w:rsidR="00C94CE6" w:rsidRPr="00B7665D">
        <w:rPr>
          <w:rFonts w:ascii="Times New Roman" w:hAnsi="Times New Roman" w:cs="Times New Roman"/>
          <w:sz w:val="24"/>
          <w:szCs w:val="24"/>
        </w:rPr>
        <w:t>NERC</w:t>
      </w:r>
      <w:r w:rsidR="0003018F" w:rsidRPr="00B7665D">
        <w:rPr>
          <w:rFonts w:ascii="Times New Roman" w:hAnsi="Times New Roman" w:cs="Times New Roman"/>
          <w:sz w:val="24"/>
          <w:szCs w:val="24"/>
        </w:rPr>
        <w:t>,</w:t>
      </w:r>
      <w:r w:rsidR="008C23E0" w:rsidRPr="00B7665D">
        <w:rPr>
          <w:rFonts w:ascii="Times New Roman" w:hAnsi="Times New Roman" w:cs="Times New Roman"/>
          <w:sz w:val="24"/>
          <w:szCs w:val="24"/>
        </w:rPr>
        <w:t xml:space="preserve"> </w:t>
      </w:r>
      <w:r w:rsidR="008C23E0" w:rsidRPr="00B7665D">
        <w:rPr>
          <w:rFonts w:ascii="Times New Roman" w:hAnsi="Times New Roman" w:cs="Times New Roman"/>
          <w:i/>
          <w:iCs/>
          <w:sz w:val="24"/>
          <w:szCs w:val="24"/>
        </w:rPr>
        <w:t>2022-2023 Winter Reliability Assessment</w:t>
      </w:r>
      <w:r w:rsidR="00C94CE6" w:rsidRPr="00B7665D">
        <w:rPr>
          <w:rFonts w:ascii="Times New Roman" w:hAnsi="Times New Roman" w:cs="Times New Roman"/>
          <w:sz w:val="24"/>
          <w:szCs w:val="24"/>
        </w:rPr>
        <w:t xml:space="preserve"> </w:t>
      </w:r>
      <w:r w:rsidR="00846EE8" w:rsidRPr="00B7665D">
        <w:rPr>
          <w:rFonts w:ascii="Times New Roman" w:hAnsi="Times New Roman" w:cs="Times New Roman"/>
          <w:sz w:val="24"/>
          <w:szCs w:val="24"/>
        </w:rPr>
        <w:t>(Nov. 2022)</w:t>
      </w:r>
      <w:r w:rsidR="00C94CE6" w:rsidRPr="00B7665D">
        <w:rPr>
          <w:rFonts w:ascii="Times New Roman" w:hAnsi="Times New Roman" w:cs="Times New Roman"/>
          <w:sz w:val="24"/>
          <w:szCs w:val="24"/>
        </w:rPr>
        <w:t xml:space="preserve"> at 26</w:t>
      </w:r>
      <w:r w:rsidR="00846EE8" w:rsidRPr="00B7665D">
        <w:rPr>
          <w:rFonts w:ascii="Times New Roman" w:hAnsi="Times New Roman" w:cs="Times New Roman"/>
          <w:sz w:val="24"/>
          <w:szCs w:val="24"/>
        </w:rPr>
        <w:t xml:space="preserve">, </w:t>
      </w:r>
      <w:r w:rsidR="00846EE8" w:rsidRPr="00B7665D">
        <w:rPr>
          <w:rFonts w:ascii="Times New Roman" w:hAnsi="Times New Roman" w:cs="Times New Roman"/>
          <w:i/>
          <w:iCs/>
          <w:sz w:val="24"/>
          <w:szCs w:val="24"/>
        </w:rPr>
        <w:t>available at</w:t>
      </w:r>
      <w:r w:rsidR="00846EE8" w:rsidRPr="00B7665D">
        <w:rPr>
          <w:rFonts w:ascii="Times New Roman" w:hAnsi="Times New Roman" w:cs="Times New Roman"/>
          <w:sz w:val="24"/>
          <w:szCs w:val="24"/>
        </w:rPr>
        <w:t xml:space="preserve">: </w:t>
      </w:r>
      <w:hyperlink r:id="rId2" w:history="1">
        <w:r w:rsidR="00846EE8" w:rsidRPr="00B7665D">
          <w:rPr>
            <w:rStyle w:val="Hyperlink"/>
            <w:rFonts w:ascii="Times New Roman" w:hAnsi="Times New Roman" w:cs="Times New Roman"/>
            <w:sz w:val="24"/>
            <w:szCs w:val="24"/>
          </w:rPr>
          <w:t>https://www.nerc.com/pa/RAPA/ra/Reliability%20Assessments%20DL/NERC_WRA_2022.pdf</w:t>
        </w:r>
      </w:hyperlink>
      <w:r w:rsidR="00846EE8" w:rsidRPr="00B7665D">
        <w:rPr>
          <w:rFonts w:ascii="Times New Roman" w:hAnsi="Times New Roman" w:cs="Times New Roman"/>
          <w:sz w:val="24"/>
          <w:szCs w:val="24"/>
        </w:rPr>
        <w:t xml:space="preserve"> (WRA).</w:t>
      </w:r>
    </w:p>
  </w:footnote>
  <w:footnote w:id="5">
    <w:p w14:paraId="57896CEC" w14:textId="0D915460" w:rsidR="00451C4F" w:rsidRPr="00B7665D" w:rsidRDefault="00451C4F" w:rsidP="00B7665D">
      <w:pPr>
        <w:pStyle w:val="FootnoteText"/>
        <w:rPr>
          <w:rFonts w:ascii="Times New Roman" w:hAnsi="Times New Roman" w:cs="Times New Roman"/>
          <w:sz w:val="24"/>
          <w:szCs w:val="24"/>
        </w:rPr>
      </w:pPr>
      <w:r w:rsidRPr="00B7665D">
        <w:rPr>
          <w:rStyle w:val="FootnoteReference"/>
          <w:rFonts w:ascii="Times New Roman" w:hAnsi="Times New Roman" w:cs="Times New Roman"/>
          <w:sz w:val="24"/>
          <w:szCs w:val="24"/>
        </w:rPr>
        <w:footnoteRef/>
      </w:r>
      <w:r w:rsidRPr="00B7665D">
        <w:rPr>
          <w:rFonts w:ascii="Times New Roman" w:hAnsi="Times New Roman" w:cs="Times New Roman"/>
          <w:sz w:val="24"/>
          <w:szCs w:val="24"/>
        </w:rPr>
        <w:t xml:space="preserve"> </w:t>
      </w:r>
      <w:r w:rsidR="00D90757" w:rsidRPr="00B7665D">
        <w:rPr>
          <w:rFonts w:ascii="Times New Roman" w:hAnsi="Times New Roman" w:cs="Times New Roman"/>
          <w:sz w:val="24"/>
          <w:szCs w:val="24"/>
        </w:rPr>
        <w:t xml:space="preserve">ERCOT, </w:t>
      </w:r>
      <w:r w:rsidR="00A41F88" w:rsidRPr="00B7665D">
        <w:rPr>
          <w:rFonts w:ascii="Times New Roman" w:hAnsi="Times New Roman" w:cs="Times New Roman"/>
          <w:i/>
          <w:iCs/>
          <w:sz w:val="24"/>
          <w:szCs w:val="24"/>
        </w:rPr>
        <w:t>Seasonal Assessment of Resource Adequacy for the ERCOT Region Winter 2022/23</w:t>
      </w:r>
      <w:r w:rsidR="00C94CE6" w:rsidRPr="00B7665D">
        <w:rPr>
          <w:rFonts w:ascii="Times New Roman" w:hAnsi="Times New Roman" w:cs="Times New Roman"/>
          <w:sz w:val="24"/>
          <w:szCs w:val="24"/>
        </w:rPr>
        <w:t xml:space="preserve"> </w:t>
      </w:r>
      <w:r w:rsidR="00F237E0" w:rsidRPr="00B7665D">
        <w:rPr>
          <w:rFonts w:ascii="Times New Roman" w:hAnsi="Times New Roman" w:cs="Times New Roman"/>
          <w:sz w:val="24"/>
          <w:szCs w:val="24"/>
        </w:rPr>
        <w:t xml:space="preserve"> </w:t>
      </w:r>
      <w:r w:rsidR="00D8670A" w:rsidRPr="00B7665D">
        <w:rPr>
          <w:rFonts w:ascii="Times New Roman" w:hAnsi="Times New Roman" w:cs="Times New Roman"/>
          <w:sz w:val="24"/>
          <w:szCs w:val="24"/>
        </w:rPr>
        <w:t>(Nov. 29, 2022)</w:t>
      </w:r>
      <w:r w:rsidR="00C94CE6" w:rsidRPr="00B7665D">
        <w:rPr>
          <w:rFonts w:ascii="Times New Roman" w:hAnsi="Times New Roman" w:cs="Times New Roman"/>
          <w:sz w:val="24"/>
          <w:szCs w:val="24"/>
        </w:rPr>
        <w:t xml:space="preserve"> at 4</w:t>
      </w:r>
      <w:r w:rsidR="00B32985" w:rsidRPr="00B7665D">
        <w:rPr>
          <w:rFonts w:ascii="Times New Roman" w:hAnsi="Times New Roman" w:cs="Times New Roman"/>
          <w:sz w:val="24"/>
          <w:szCs w:val="24"/>
        </w:rPr>
        <w:t xml:space="preserve">, </w:t>
      </w:r>
      <w:r w:rsidR="00F237E0" w:rsidRPr="00B7665D">
        <w:rPr>
          <w:rFonts w:ascii="Times New Roman" w:hAnsi="Times New Roman" w:cs="Times New Roman"/>
          <w:i/>
          <w:iCs/>
          <w:sz w:val="24"/>
          <w:szCs w:val="24"/>
        </w:rPr>
        <w:t>available at</w:t>
      </w:r>
      <w:r w:rsidR="00F237E0" w:rsidRPr="00B7665D">
        <w:rPr>
          <w:rFonts w:ascii="Times New Roman" w:hAnsi="Times New Roman" w:cs="Times New Roman"/>
          <w:sz w:val="24"/>
          <w:szCs w:val="24"/>
        </w:rPr>
        <w:t xml:space="preserve">: </w:t>
      </w:r>
      <w:hyperlink r:id="rId3" w:history="1">
        <w:r w:rsidR="00F237E0" w:rsidRPr="00B7665D">
          <w:rPr>
            <w:rStyle w:val="Hyperlink"/>
            <w:rFonts w:ascii="Times New Roman" w:hAnsi="Times New Roman" w:cs="Times New Roman"/>
            <w:sz w:val="24"/>
            <w:szCs w:val="24"/>
          </w:rPr>
          <w:t xml:space="preserve"> https://www.ercot.com/files/docs/2022/11/29/SARA_Winter2022-23.pdf</w:t>
        </w:r>
      </w:hyperlink>
      <w:r w:rsidR="00846EE8" w:rsidRPr="00B7665D">
        <w:rPr>
          <w:rFonts w:ascii="Times New Roman" w:hAnsi="Times New Roman" w:cs="Times New Roman"/>
          <w:sz w:val="24"/>
          <w:szCs w:val="24"/>
        </w:rPr>
        <w:t xml:space="preserve"> (SARA).</w:t>
      </w:r>
    </w:p>
  </w:footnote>
  <w:footnote w:id="6">
    <w:p w14:paraId="6451F8E3" w14:textId="1E7ACA27" w:rsidR="003E7AED" w:rsidRPr="004E56F2" w:rsidRDefault="003E7AED">
      <w:pPr>
        <w:pStyle w:val="FootnoteText"/>
        <w:rPr>
          <w:rFonts w:ascii="Times New Roman" w:hAnsi="Times New Roman" w:cs="Times New Roman"/>
          <w:sz w:val="24"/>
          <w:szCs w:val="24"/>
        </w:rPr>
      </w:pPr>
      <w:r w:rsidRPr="004E56F2">
        <w:rPr>
          <w:rStyle w:val="FootnoteReference"/>
          <w:rFonts w:ascii="Times New Roman" w:hAnsi="Times New Roman" w:cs="Times New Roman"/>
          <w:sz w:val="24"/>
          <w:szCs w:val="24"/>
        </w:rPr>
        <w:footnoteRef/>
      </w:r>
      <w:r w:rsidRPr="004E56F2">
        <w:rPr>
          <w:rFonts w:ascii="Times New Roman" w:hAnsi="Times New Roman" w:cs="Times New Roman"/>
          <w:sz w:val="24"/>
          <w:szCs w:val="24"/>
        </w:rPr>
        <w:t xml:space="preserve"> </w:t>
      </w:r>
      <w:r w:rsidR="00E83119" w:rsidRPr="004E56F2">
        <w:rPr>
          <w:rFonts w:ascii="Times New Roman" w:hAnsi="Times New Roman" w:cs="Times New Roman"/>
          <w:sz w:val="24"/>
          <w:szCs w:val="24"/>
        </w:rPr>
        <w:t xml:space="preserve">E3 Report at </w:t>
      </w:r>
      <w:r w:rsidR="00F04DA6" w:rsidRPr="004E56F2">
        <w:rPr>
          <w:rFonts w:ascii="Times New Roman" w:hAnsi="Times New Roman" w:cs="Times New Roman"/>
          <w:sz w:val="24"/>
          <w:szCs w:val="24"/>
        </w:rPr>
        <w:t>126.</w:t>
      </w:r>
    </w:p>
  </w:footnote>
  <w:footnote w:id="7">
    <w:p w14:paraId="3D5477E6" w14:textId="477508AF" w:rsidR="00606F44" w:rsidRPr="004E56F2" w:rsidRDefault="00606F44">
      <w:pPr>
        <w:pStyle w:val="FootnoteText"/>
        <w:rPr>
          <w:rFonts w:ascii="Times New Roman" w:hAnsi="Times New Roman" w:cs="Times New Roman"/>
          <w:sz w:val="24"/>
          <w:szCs w:val="24"/>
          <w:highlight w:val="yellow"/>
        </w:rPr>
      </w:pPr>
      <w:r w:rsidRPr="004E56F2">
        <w:rPr>
          <w:rStyle w:val="FootnoteReference"/>
          <w:rFonts w:ascii="Times New Roman" w:hAnsi="Times New Roman" w:cs="Times New Roman"/>
          <w:sz w:val="24"/>
          <w:szCs w:val="24"/>
        </w:rPr>
        <w:footnoteRef/>
      </w:r>
      <w:r w:rsidR="00C91C01" w:rsidRPr="004E56F2">
        <w:rPr>
          <w:rFonts w:ascii="Times New Roman" w:hAnsi="Times New Roman" w:cs="Times New Roman"/>
          <w:sz w:val="24"/>
          <w:szCs w:val="24"/>
        </w:rPr>
        <w:t xml:space="preserve"> University of Texas at Austin Energy Institute, </w:t>
      </w:r>
      <w:r w:rsidR="00C91C01" w:rsidRPr="004E56F2">
        <w:rPr>
          <w:rFonts w:ascii="Times New Roman" w:hAnsi="Times New Roman" w:cs="Times New Roman"/>
          <w:i/>
          <w:iCs/>
          <w:sz w:val="24"/>
          <w:szCs w:val="24"/>
        </w:rPr>
        <w:t xml:space="preserve">The Timeline and Events of the February 2021 Texas Electric Grid Blackouts </w:t>
      </w:r>
      <w:r w:rsidR="00C91C01" w:rsidRPr="004E56F2">
        <w:rPr>
          <w:rFonts w:ascii="Times New Roman" w:hAnsi="Times New Roman" w:cs="Times New Roman"/>
          <w:sz w:val="24"/>
          <w:szCs w:val="24"/>
        </w:rPr>
        <w:t>(July 2021)</w:t>
      </w:r>
      <w:r w:rsidR="007D2150" w:rsidRPr="004E56F2">
        <w:rPr>
          <w:rFonts w:ascii="Times New Roman" w:hAnsi="Times New Roman" w:cs="Times New Roman"/>
          <w:sz w:val="24"/>
          <w:szCs w:val="24"/>
        </w:rPr>
        <w:t>, available at</w:t>
      </w:r>
      <w:r w:rsidR="00246D95" w:rsidRPr="004E56F2">
        <w:rPr>
          <w:rFonts w:ascii="Times New Roman" w:hAnsi="Times New Roman" w:cs="Times New Roman"/>
          <w:sz w:val="24"/>
          <w:szCs w:val="24"/>
        </w:rPr>
        <w:t>https://energy.utexas.edu/sites/default/files/UTAustin%20%282021%29%20EventsFebruary2021TexasBlackout%2020210714.pdf.</w:t>
      </w:r>
    </w:p>
  </w:footnote>
  <w:footnote w:id="8">
    <w:p w14:paraId="13C9D439" w14:textId="5A3682A5" w:rsidR="002B41BA" w:rsidRPr="00F65DCD" w:rsidRDefault="002B41BA">
      <w:pPr>
        <w:pStyle w:val="FootnoteText"/>
        <w:rPr>
          <w:rFonts w:ascii="Times New Roman" w:hAnsi="Times New Roman" w:cs="Times New Roman"/>
          <w:sz w:val="24"/>
          <w:szCs w:val="24"/>
        </w:rPr>
      </w:pPr>
      <w:r w:rsidRPr="00F65DCD">
        <w:rPr>
          <w:rStyle w:val="FootnoteReference"/>
          <w:rFonts w:ascii="Times New Roman" w:hAnsi="Times New Roman" w:cs="Times New Roman"/>
          <w:sz w:val="24"/>
          <w:szCs w:val="24"/>
        </w:rPr>
        <w:footnoteRef/>
      </w:r>
      <w:r w:rsidRPr="00F65DCD">
        <w:rPr>
          <w:rFonts w:ascii="Times New Roman" w:hAnsi="Times New Roman" w:cs="Times New Roman"/>
          <w:sz w:val="24"/>
          <w:szCs w:val="24"/>
        </w:rPr>
        <w:t xml:space="preserve"> </w:t>
      </w:r>
      <w:r w:rsidR="00B32985" w:rsidRPr="00F65DCD">
        <w:rPr>
          <w:rFonts w:ascii="Times New Roman" w:hAnsi="Times New Roman" w:cs="Times New Roman"/>
          <w:sz w:val="24"/>
          <w:szCs w:val="24"/>
        </w:rPr>
        <w:t>E3 Report at 56.</w:t>
      </w:r>
    </w:p>
  </w:footnote>
  <w:footnote w:id="9">
    <w:p w14:paraId="28B5C5C3" w14:textId="6A1B4A19" w:rsidR="00B6030F" w:rsidRPr="00F65DCD" w:rsidRDefault="00B6030F">
      <w:pPr>
        <w:pStyle w:val="FootnoteText"/>
        <w:rPr>
          <w:rFonts w:ascii="Times New Roman" w:hAnsi="Times New Roman" w:cs="Times New Roman"/>
          <w:sz w:val="24"/>
          <w:szCs w:val="24"/>
        </w:rPr>
      </w:pPr>
      <w:r w:rsidRPr="00F65DCD">
        <w:rPr>
          <w:rStyle w:val="FootnoteReference"/>
          <w:rFonts w:ascii="Times New Roman" w:hAnsi="Times New Roman" w:cs="Times New Roman"/>
          <w:sz w:val="24"/>
          <w:szCs w:val="24"/>
        </w:rPr>
        <w:footnoteRef/>
      </w:r>
      <w:r w:rsidRPr="00F65DCD">
        <w:rPr>
          <w:rFonts w:ascii="Times New Roman" w:hAnsi="Times New Roman" w:cs="Times New Roman"/>
          <w:sz w:val="24"/>
          <w:szCs w:val="24"/>
        </w:rPr>
        <w:t xml:space="preserve"> PURA 39.159(b).</w:t>
      </w:r>
    </w:p>
  </w:footnote>
  <w:footnote w:id="10">
    <w:p w14:paraId="25549640" w14:textId="7F029400" w:rsidR="00E64B84" w:rsidRPr="00B104BC" w:rsidRDefault="00E64B84">
      <w:pPr>
        <w:pStyle w:val="FootnoteText"/>
        <w:rPr>
          <w:rFonts w:ascii="Times New Roman" w:hAnsi="Times New Roman" w:cs="Times New Roman"/>
          <w:sz w:val="24"/>
          <w:szCs w:val="24"/>
        </w:rPr>
      </w:pPr>
      <w:r w:rsidRPr="00B104BC">
        <w:rPr>
          <w:rStyle w:val="FootnoteReference"/>
          <w:rFonts w:ascii="Times New Roman" w:hAnsi="Times New Roman" w:cs="Times New Roman"/>
          <w:sz w:val="24"/>
          <w:szCs w:val="24"/>
        </w:rPr>
        <w:footnoteRef/>
      </w:r>
      <w:r w:rsidRPr="00B104BC">
        <w:rPr>
          <w:rFonts w:ascii="Times New Roman" w:hAnsi="Times New Roman" w:cs="Times New Roman"/>
          <w:sz w:val="24"/>
          <w:szCs w:val="24"/>
        </w:rPr>
        <w:t xml:space="preserve"> The Brattle Group, </w:t>
      </w:r>
      <w:r w:rsidRPr="00B104BC">
        <w:rPr>
          <w:rFonts w:ascii="Times New Roman" w:hAnsi="Times New Roman" w:cs="Times New Roman"/>
          <w:i/>
          <w:iCs/>
          <w:sz w:val="24"/>
          <w:szCs w:val="24"/>
        </w:rPr>
        <w:t xml:space="preserve">Market Design Option for Managing Reliability in Texas </w:t>
      </w:r>
      <w:r w:rsidRPr="00B104BC">
        <w:rPr>
          <w:rFonts w:ascii="Times New Roman" w:hAnsi="Times New Roman" w:cs="Times New Roman"/>
          <w:sz w:val="24"/>
          <w:szCs w:val="24"/>
        </w:rPr>
        <w:t>(Nov. 2021) at 2</w:t>
      </w:r>
      <w:r w:rsidR="00C97FC4" w:rsidRPr="00B104BC">
        <w:rPr>
          <w:rFonts w:ascii="Times New Roman" w:hAnsi="Times New Roman" w:cs="Times New Roman"/>
          <w:sz w:val="24"/>
          <w:szCs w:val="24"/>
        </w:rPr>
        <w:t xml:space="preserve">, available at </w:t>
      </w:r>
      <w:hyperlink r:id="rId4" w:history="1">
        <w:r w:rsidR="00C97FC4" w:rsidRPr="00B104BC">
          <w:rPr>
            <w:rStyle w:val="Hyperlink"/>
            <w:rFonts w:ascii="Times New Roman" w:hAnsi="Times New Roman" w:cs="Times New Roman"/>
            <w:sz w:val="24"/>
            <w:szCs w:val="24"/>
          </w:rPr>
          <w:t>https://interchange.puc.texas.gov/Documents/52373_255_1168764.PDF</w:t>
        </w:r>
      </w:hyperlink>
      <w:r w:rsidR="00C97FC4" w:rsidRPr="00B104BC">
        <w:rPr>
          <w:rFonts w:ascii="Times New Roman" w:hAnsi="Times New Roman" w:cs="Times New Roman"/>
          <w:sz w:val="24"/>
          <w:szCs w:val="24"/>
        </w:rPr>
        <w:t xml:space="preserve">. </w:t>
      </w:r>
    </w:p>
  </w:footnote>
  <w:footnote w:id="11">
    <w:p w14:paraId="0C9B358F" w14:textId="70E363A8" w:rsidR="009D1535" w:rsidRPr="00B104BC" w:rsidRDefault="009D1535">
      <w:pPr>
        <w:pStyle w:val="FootnoteText"/>
        <w:rPr>
          <w:rFonts w:ascii="Times New Roman" w:hAnsi="Times New Roman" w:cs="Times New Roman"/>
          <w:sz w:val="24"/>
          <w:szCs w:val="24"/>
        </w:rPr>
      </w:pPr>
      <w:r w:rsidRPr="00B104BC">
        <w:rPr>
          <w:rStyle w:val="FootnoteReference"/>
          <w:rFonts w:ascii="Times New Roman" w:hAnsi="Times New Roman" w:cs="Times New Roman"/>
          <w:sz w:val="24"/>
          <w:szCs w:val="24"/>
        </w:rPr>
        <w:footnoteRef/>
      </w:r>
      <w:r w:rsidRPr="00B104BC">
        <w:rPr>
          <w:rFonts w:ascii="Times New Roman" w:hAnsi="Times New Roman" w:cs="Times New Roman"/>
          <w:sz w:val="24"/>
          <w:szCs w:val="24"/>
        </w:rPr>
        <w:t xml:space="preserve"> </w:t>
      </w:r>
      <w:r w:rsidR="00D66185" w:rsidRPr="00B104BC">
        <w:rPr>
          <w:rFonts w:ascii="Times New Roman" w:hAnsi="Times New Roman" w:cs="Times New Roman"/>
          <w:sz w:val="24"/>
          <w:szCs w:val="24"/>
        </w:rPr>
        <w:t xml:space="preserve">E3 Report at 46. </w:t>
      </w:r>
    </w:p>
  </w:footnote>
  <w:footnote w:id="12">
    <w:p w14:paraId="201FB448" w14:textId="31C3AC1B" w:rsidR="00884A05" w:rsidRPr="00B104BC" w:rsidRDefault="00884A05">
      <w:pPr>
        <w:pStyle w:val="FootnoteText"/>
        <w:rPr>
          <w:rFonts w:ascii="Times New Roman" w:hAnsi="Times New Roman" w:cs="Times New Roman"/>
          <w:sz w:val="24"/>
          <w:szCs w:val="24"/>
        </w:rPr>
      </w:pPr>
      <w:r w:rsidRPr="00B104BC">
        <w:rPr>
          <w:rStyle w:val="FootnoteReference"/>
          <w:rFonts w:ascii="Times New Roman" w:hAnsi="Times New Roman" w:cs="Times New Roman"/>
          <w:sz w:val="24"/>
          <w:szCs w:val="24"/>
        </w:rPr>
        <w:footnoteRef/>
      </w:r>
      <w:r w:rsidRPr="00B104BC">
        <w:rPr>
          <w:rFonts w:ascii="Times New Roman" w:hAnsi="Times New Roman" w:cs="Times New Roman"/>
          <w:sz w:val="24"/>
          <w:szCs w:val="24"/>
        </w:rPr>
        <w:t xml:space="preserve"> E3 Report at 56. </w:t>
      </w:r>
    </w:p>
  </w:footnote>
  <w:footnote w:id="13">
    <w:p w14:paraId="3F1BCA1E" w14:textId="21F70956" w:rsidR="4A7B76B9" w:rsidRPr="002C000C" w:rsidRDefault="4A7B76B9" w:rsidP="4A7B76B9">
      <w:pPr>
        <w:pStyle w:val="FootnoteText"/>
        <w:rPr>
          <w:rFonts w:ascii="Times New Roman" w:hAnsi="Times New Roman" w:cs="Times New Roman"/>
          <w:sz w:val="24"/>
          <w:szCs w:val="24"/>
        </w:rPr>
      </w:pPr>
      <w:r w:rsidRPr="002C000C">
        <w:rPr>
          <w:rStyle w:val="FootnoteReference"/>
          <w:rFonts w:ascii="Times New Roman" w:hAnsi="Times New Roman" w:cs="Times New Roman"/>
          <w:sz w:val="24"/>
          <w:szCs w:val="24"/>
        </w:rPr>
        <w:footnoteRef/>
      </w:r>
      <w:r w:rsidRPr="002C000C">
        <w:rPr>
          <w:rFonts w:ascii="Times New Roman" w:hAnsi="Times New Roman" w:cs="Times New Roman"/>
          <w:sz w:val="24"/>
          <w:szCs w:val="24"/>
        </w:rPr>
        <w:t xml:space="preserve"> </w:t>
      </w:r>
      <w:r w:rsidR="002E3385" w:rsidRPr="002C000C">
        <w:rPr>
          <w:rFonts w:ascii="Times New Roman" w:hAnsi="Times New Roman" w:cs="Times New Roman"/>
          <w:sz w:val="24"/>
          <w:szCs w:val="24"/>
        </w:rPr>
        <w:t xml:space="preserve">WRA </w:t>
      </w:r>
      <w:r w:rsidR="009359E8" w:rsidRPr="002C000C">
        <w:rPr>
          <w:rFonts w:ascii="Times New Roman" w:hAnsi="Times New Roman" w:cs="Times New Roman"/>
          <w:sz w:val="24"/>
          <w:szCs w:val="24"/>
        </w:rPr>
        <w:t xml:space="preserve">at </w:t>
      </w:r>
      <w:r w:rsidR="002E3385" w:rsidRPr="002C000C">
        <w:rPr>
          <w:rFonts w:ascii="Times New Roman" w:hAnsi="Times New Roman" w:cs="Times New Roman"/>
          <w:sz w:val="24"/>
          <w:szCs w:val="24"/>
        </w:rPr>
        <w:t>26.</w:t>
      </w:r>
    </w:p>
  </w:footnote>
  <w:footnote w:id="14">
    <w:p w14:paraId="0E84CE57" w14:textId="1796EC63" w:rsidR="4A7B76B9" w:rsidRPr="002C000C" w:rsidRDefault="4A7B76B9" w:rsidP="4A7B76B9">
      <w:pPr>
        <w:pStyle w:val="FootnoteText"/>
        <w:rPr>
          <w:rFonts w:ascii="Times New Roman" w:hAnsi="Times New Roman" w:cs="Times New Roman"/>
          <w:sz w:val="24"/>
          <w:szCs w:val="24"/>
        </w:rPr>
      </w:pPr>
      <w:r w:rsidRPr="002C000C">
        <w:rPr>
          <w:rStyle w:val="FootnoteReference"/>
          <w:rFonts w:ascii="Times New Roman" w:hAnsi="Times New Roman" w:cs="Times New Roman"/>
          <w:sz w:val="24"/>
          <w:szCs w:val="24"/>
        </w:rPr>
        <w:footnoteRef/>
      </w:r>
      <w:r w:rsidRPr="002C000C">
        <w:rPr>
          <w:rFonts w:ascii="Times New Roman" w:hAnsi="Times New Roman" w:cs="Times New Roman"/>
          <w:sz w:val="24"/>
          <w:szCs w:val="24"/>
        </w:rPr>
        <w:t xml:space="preserve"> </w:t>
      </w:r>
      <w:r w:rsidR="00277CA5">
        <w:rPr>
          <w:rFonts w:ascii="Times New Roman" w:hAnsi="Times New Roman" w:cs="Times New Roman"/>
          <w:i/>
          <w:iCs/>
          <w:sz w:val="24"/>
          <w:szCs w:val="24"/>
        </w:rPr>
        <w:t xml:space="preserve">Id </w:t>
      </w:r>
      <w:r w:rsidR="009359E8" w:rsidRPr="002C000C">
        <w:rPr>
          <w:rFonts w:ascii="Times New Roman" w:hAnsi="Times New Roman" w:cs="Times New Roman"/>
          <w:sz w:val="24"/>
          <w:szCs w:val="24"/>
        </w:rPr>
        <w:t xml:space="preserve">at </w:t>
      </w:r>
      <w:r w:rsidR="001F1E82" w:rsidRPr="002C000C">
        <w:rPr>
          <w:rFonts w:ascii="Times New Roman" w:hAnsi="Times New Roman" w:cs="Times New Roman"/>
          <w:sz w:val="24"/>
          <w:szCs w:val="24"/>
        </w:rPr>
        <w:t>3.</w:t>
      </w:r>
    </w:p>
  </w:footnote>
  <w:footnote w:id="15">
    <w:p w14:paraId="1C4524DC" w14:textId="3D66B270" w:rsidR="00047F1F" w:rsidRPr="007C659A" w:rsidRDefault="00047F1F">
      <w:pPr>
        <w:pStyle w:val="FootnoteText"/>
        <w:rPr>
          <w:rFonts w:ascii="Times New Roman" w:hAnsi="Times New Roman" w:cs="Times New Roman"/>
          <w:sz w:val="24"/>
          <w:szCs w:val="24"/>
        </w:rPr>
      </w:pPr>
      <w:r w:rsidRPr="00A87C2F">
        <w:rPr>
          <w:rStyle w:val="FootnoteReference"/>
          <w:rFonts w:ascii="Times New Roman" w:hAnsi="Times New Roman" w:cs="Times New Roman"/>
          <w:sz w:val="24"/>
          <w:szCs w:val="24"/>
        </w:rPr>
        <w:footnoteRef/>
      </w:r>
      <w:r w:rsidRPr="00A87C2F">
        <w:rPr>
          <w:rFonts w:ascii="Times New Roman" w:hAnsi="Times New Roman" w:cs="Times New Roman"/>
          <w:sz w:val="24"/>
          <w:szCs w:val="24"/>
        </w:rPr>
        <w:t xml:space="preserve"> </w:t>
      </w:r>
      <w:r w:rsidR="00A55181" w:rsidRPr="00A87C2F">
        <w:rPr>
          <w:rFonts w:ascii="Times New Roman" w:hAnsi="Times New Roman" w:cs="Times New Roman"/>
          <w:sz w:val="24"/>
          <w:szCs w:val="24"/>
        </w:rPr>
        <w:t xml:space="preserve">ISO-NE, Market Rule 1 Section 13.7.2.1, </w:t>
      </w:r>
      <w:r w:rsidR="00A55181" w:rsidRPr="007C659A">
        <w:rPr>
          <w:rFonts w:ascii="Times New Roman" w:hAnsi="Times New Roman" w:cs="Times New Roman"/>
          <w:sz w:val="24"/>
          <w:szCs w:val="24"/>
        </w:rPr>
        <w:t xml:space="preserve">available at </w:t>
      </w:r>
      <w:hyperlink r:id="rId5" w:history="1">
        <w:r w:rsidR="00A87C2F" w:rsidRPr="007C659A">
          <w:rPr>
            <w:rStyle w:val="Hyperlink"/>
            <w:rFonts w:ascii="Times New Roman" w:hAnsi="Times New Roman" w:cs="Times New Roman"/>
            <w:sz w:val="24"/>
            <w:szCs w:val="24"/>
          </w:rPr>
          <w:t>https://www.iso-ne.com/static-assets/documents/regulatory/tariff/sect_3/mr1_sec_13_14.pdf</w:t>
        </w:r>
      </w:hyperlink>
      <w:r w:rsidR="00A87C2F" w:rsidRPr="007C659A">
        <w:rPr>
          <w:rFonts w:ascii="Times New Roman" w:hAnsi="Times New Roman" w:cs="Times New Roman"/>
          <w:sz w:val="24"/>
          <w:szCs w:val="24"/>
        </w:rPr>
        <w:t xml:space="preserve">. </w:t>
      </w:r>
    </w:p>
  </w:footnote>
  <w:footnote w:id="16">
    <w:p w14:paraId="6B4223AE" w14:textId="2333AFA8" w:rsidR="00026A92" w:rsidRPr="007C659A" w:rsidRDefault="00026A92">
      <w:pPr>
        <w:pStyle w:val="FootnoteText"/>
        <w:rPr>
          <w:rFonts w:ascii="Times New Roman" w:hAnsi="Times New Roman" w:cs="Times New Roman"/>
          <w:sz w:val="24"/>
          <w:szCs w:val="24"/>
        </w:rPr>
      </w:pPr>
      <w:r w:rsidRPr="007C659A">
        <w:rPr>
          <w:rStyle w:val="FootnoteReference"/>
          <w:rFonts w:ascii="Times New Roman" w:hAnsi="Times New Roman" w:cs="Times New Roman"/>
          <w:sz w:val="24"/>
          <w:szCs w:val="24"/>
        </w:rPr>
        <w:footnoteRef/>
      </w:r>
      <w:r w:rsidRPr="007C659A">
        <w:rPr>
          <w:rFonts w:ascii="Times New Roman" w:hAnsi="Times New Roman" w:cs="Times New Roman"/>
          <w:sz w:val="24"/>
          <w:szCs w:val="24"/>
        </w:rPr>
        <w:t xml:space="preserve"> </w:t>
      </w:r>
      <w:r w:rsidR="002F29C6" w:rsidRPr="007C659A">
        <w:rPr>
          <w:rFonts w:ascii="Times New Roman" w:hAnsi="Times New Roman" w:cs="Times New Roman"/>
          <w:i/>
          <w:iCs/>
          <w:sz w:val="24"/>
          <w:szCs w:val="24"/>
        </w:rPr>
        <w:t>ISO-NE</w:t>
      </w:r>
      <w:r w:rsidR="002F29C6" w:rsidRPr="007C659A">
        <w:rPr>
          <w:rFonts w:ascii="Times New Roman" w:hAnsi="Times New Roman" w:cs="Times New Roman"/>
          <w:sz w:val="24"/>
          <w:szCs w:val="24"/>
        </w:rPr>
        <w:t xml:space="preserve">, </w:t>
      </w:r>
      <w:r w:rsidR="001F4A41" w:rsidRPr="007C659A">
        <w:rPr>
          <w:rFonts w:ascii="Times New Roman" w:hAnsi="Times New Roman" w:cs="Times New Roman"/>
          <w:sz w:val="24"/>
          <w:szCs w:val="24"/>
        </w:rPr>
        <w:t>173 FERC ¶ 61,1</w:t>
      </w:r>
      <w:r w:rsidR="002F29C6" w:rsidRPr="007C659A">
        <w:rPr>
          <w:rFonts w:ascii="Times New Roman" w:hAnsi="Times New Roman" w:cs="Times New Roman"/>
          <w:sz w:val="24"/>
          <w:szCs w:val="24"/>
        </w:rPr>
        <w:t xml:space="preserve">06 </w:t>
      </w:r>
      <w:r w:rsidR="001F4A41" w:rsidRPr="007C659A">
        <w:rPr>
          <w:rFonts w:ascii="Times New Roman" w:hAnsi="Times New Roman" w:cs="Times New Roman"/>
          <w:sz w:val="24"/>
          <w:szCs w:val="24"/>
        </w:rPr>
        <w:t>(2020)</w:t>
      </w:r>
      <w:r w:rsidR="007C659A" w:rsidRPr="007C659A">
        <w:rPr>
          <w:rFonts w:ascii="Times New Roman" w:hAnsi="Times New Roman" w:cs="Times New Roman"/>
          <w:sz w:val="24"/>
          <w:szCs w:val="24"/>
        </w:rPr>
        <w:t>.</w:t>
      </w:r>
    </w:p>
  </w:footnote>
  <w:footnote w:id="17">
    <w:p w14:paraId="42BA3684" w14:textId="3488D4D9" w:rsidR="00F61CC8" w:rsidRPr="00E01D85" w:rsidRDefault="00F61CC8" w:rsidP="00F61CC8">
      <w:pPr>
        <w:pStyle w:val="FootnoteText"/>
        <w:rPr>
          <w:rFonts w:ascii="Times New Roman" w:hAnsi="Times New Roman" w:cs="Times New Roman"/>
          <w:sz w:val="24"/>
          <w:szCs w:val="24"/>
        </w:rPr>
      </w:pPr>
      <w:r w:rsidRPr="007C659A">
        <w:rPr>
          <w:rStyle w:val="FootnoteReference"/>
          <w:rFonts w:ascii="Times New Roman" w:hAnsi="Times New Roman" w:cs="Times New Roman"/>
          <w:sz w:val="24"/>
          <w:szCs w:val="24"/>
        </w:rPr>
        <w:footnoteRef/>
      </w:r>
      <w:r w:rsidRPr="007C659A">
        <w:rPr>
          <w:rFonts w:ascii="Times New Roman" w:hAnsi="Times New Roman" w:cs="Times New Roman"/>
          <w:sz w:val="24"/>
          <w:szCs w:val="24"/>
        </w:rPr>
        <w:t xml:space="preserve"> Energy Transition in PJM: Frameworks for Analysis, 2 (Dec. 15, 2021), </w:t>
      </w:r>
      <w:r w:rsidRPr="007C659A">
        <w:rPr>
          <w:rFonts w:ascii="Times New Roman" w:hAnsi="Times New Roman" w:cs="Times New Roman"/>
          <w:i/>
          <w:iCs/>
          <w:sz w:val="24"/>
          <w:szCs w:val="24"/>
        </w:rPr>
        <w:t>available at:</w:t>
      </w:r>
      <w:r w:rsidRPr="007C659A">
        <w:rPr>
          <w:rFonts w:ascii="Times New Roman" w:hAnsi="Times New Roman" w:cs="Times New Roman"/>
          <w:sz w:val="24"/>
          <w:szCs w:val="24"/>
        </w:rPr>
        <w:t xml:space="preserve"> </w:t>
      </w:r>
      <w:hyperlink r:id="rId6" w:history="1">
        <w:r w:rsidRPr="007C659A">
          <w:rPr>
            <w:rStyle w:val="Hyperlink"/>
            <w:rFonts w:ascii="Times New Roman" w:hAnsi="Times New Roman" w:cs="Times New Roman"/>
            <w:sz w:val="24"/>
            <w:szCs w:val="24"/>
          </w:rPr>
          <w:t>https://www.pjm.com/-/media/library/reports-notices/special-reports/2021/20211215-energy-transition-in-pjm-frameworks-for-analysis.ashx</w:t>
        </w:r>
      </w:hyperlink>
      <w:r w:rsidRPr="00E01D85">
        <w:rPr>
          <w:rFonts w:ascii="Times New Roman" w:hAnsi="Times New Roman" w:cs="Times New Roman"/>
          <w:sz w:val="24"/>
          <w:szCs w:val="24"/>
        </w:rPr>
        <w:t xml:space="preserve"> (RIS 2021).</w:t>
      </w:r>
    </w:p>
  </w:footnote>
  <w:footnote w:id="18">
    <w:p w14:paraId="7CCA41D0" w14:textId="26E14E26" w:rsidR="00F61CC8" w:rsidRPr="00E01D85" w:rsidRDefault="00F61CC8" w:rsidP="00F61CC8">
      <w:pPr>
        <w:pStyle w:val="FootnoteText"/>
        <w:rPr>
          <w:rFonts w:ascii="Times New Roman" w:hAnsi="Times New Roman" w:cs="Times New Roman"/>
          <w:sz w:val="24"/>
          <w:szCs w:val="24"/>
        </w:rPr>
      </w:pPr>
      <w:r w:rsidRPr="00E01D85">
        <w:rPr>
          <w:rStyle w:val="FootnoteReference"/>
          <w:rFonts w:ascii="Times New Roman" w:hAnsi="Times New Roman" w:cs="Times New Roman"/>
          <w:sz w:val="24"/>
          <w:szCs w:val="24"/>
        </w:rPr>
        <w:footnoteRef/>
      </w:r>
      <w:r w:rsidRPr="00E01D85">
        <w:rPr>
          <w:rFonts w:ascii="Times New Roman" w:hAnsi="Times New Roman" w:cs="Times New Roman"/>
          <w:sz w:val="24"/>
          <w:szCs w:val="24"/>
        </w:rPr>
        <w:t xml:space="preserve"> Energy Transition in PJM: Emerging Characteristics of a Decarbonizing Grid, 5 (May 17,2022)</w:t>
      </w:r>
      <w:r w:rsidRPr="00E01D85">
        <w:rPr>
          <w:rFonts w:ascii="Times New Roman" w:hAnsi="Times New Roman" w:cs="Times New Roman"/>
          <w:i/>
          <w:iCs/>
          <w:sz w:val="24"/>
          <w:szCs w:val="24"/>
        </w:rPr>
        <w:t>, available at</w:t>
      </w:r>
      <w:r w:rsidRPr="00E01D85">
        <w:rPr>
          <w:rFonts w:ascii="Times New Roman" w:hAnsi="Times New Roman" w:cs="Times New Roman"/>
          <w:sz w:val="24"/>
          <w:szCs w:val="24"/>
        </w:rPr>
        <w:t xml:space="preserve">: </w:t>
      </w:r>
      <w:hyperlink r:id="rId7" w:history="1">
        <w:r w:rsidRPr="00E01D85">
          <w:rPr>
            <w:rStyle w:val="Hyperlink"/>
            <w:rFonts w:ascii="Times New Roman" w:hAnsi="Times New Roman" w:cs="Times New Roman"/>
            <w:sz w:val="24"/>
            <w:szCs w:val="24"/>
          </w:rPr>
          <w:t>https://www.pjm.com/-/media/library/reports-notices/special-reports/2022/20220517-energy-transition-in-pjm-emerging-characteristics-of-a-decarbonizing-grid-white-paper-final.ashx</w:t>
        </w:r>
      </w:hyperlink>
      <w:r w:rsidRPr="00E01D85">
        <w:rPr>
          <w:rFonts w:ascii="Times New Roman" w:hAnsi="Times New Roman" w:cs="Times New Roman"/>
          <w:sz w:val="24"/>
          <w:szCs w:val="24"/>
        </w:rPr>
        <w:t xml:space="preserve"> (RIS 2022).</w:t>
      </w:r>
    </w:p>
  </w:footnote>
  <w:footnote w:id="19">
    <w:p w14:paraId="764BBCEC" w14:textId="77777777" w:rsidR="00F61CC8" w:rsidRPr="00A9110A" w:rsidRDefault="00F61CC8" w:rsidP="00F61CC8">
      <w:pPr>
        <w:pStyle w:val="FootnoteText"/>
        <w:rPr>
          <w:rFonts w:ascii="Times New Roman" w:hAnsi="Times New Roman" w:cs="Times New Roman"/>
          <w:sz w:val="24"/>
          <w:szCs w:val="24"/>
        </w:rPr>
      </w:pPr>
      <w:r w:rsidRPr="00A9110A">
        <w:rPr>
          <w:rStyle w:val="FootnoteReference"/>
          <w:rFonts w:ascii="Times New Roman" w:hAnsi="Times New Roman" w:cs="Times New Roman"/>
          <w:sz w:val="24"/>
          <w:szCs w:val="24"/>
        </w:rPr>
        <w:footnoteRef/>
      </w:r>
      <w:r w:rsidRPr="00A9110A">
        <w:rPr>
          <w:rFonts w:ascii="Times New Roman" w:hAnsi="Times New Roman" w:cs="Times New Roman"/>
          <w:sz w:val="24"/>
          <w:szCs w:val="24"/>
        </w:rPr>
        <w:t xml:space="preserve"> </w:t>
      </w:r>
      <w:r w:rsidRPr="00A9110A">
        <w:rPr>
          <w:rFonts w:ascii="Times New Roman" w:hAnsi="Times New Roman" w:cs="Times New Roman"/>
          <w:i/>
          <w:iCs/>
          <w:sz w:val="24"/>
          <w:szCs w:val="24"/>
        </w:rPr>
        <w:t>See e.g., id</w:t>
      </w:r>
      <w:r w:rsidRPr="00A9110A">
        <w:rPr>
          <w:rFonts w:ascii="Times New Roman" w:hAnsi="Times New Roman" w:cs="Times New Roman"/>
          <w:sz w:val="24"/>
          <w:szCs w:val="24"/>
        </w:rPr>
        <w:t xml:space="preserve"> at 4, 5.</w:t>
      </w:r>
    </w:p>
  </w:footnote>
  <w:footnote w:id="20">
    <w:p w14:paraId="5B179AA1" w14:textId="7302FD86" w:rsidR="00567608" w:rsidRPr="00A9110A" w:rsidRDefault="00567608" w:rsidP="00567608">
      <w:pPr>
        <w:pStyle w:val="FootnoteText"/>
        <w:rPr>
          <w:rFonts w:ascii="Times New Roman" w:hAnsi="Times New Roman" w:cs="Times New Roman"/>
          <w:sz w:val="24"/>
          <w:szCs w:val="24"/>
        </w:rPr>
      </w:pPr>
      <w:r w:rsidRPr="00A9110A">
        <w:rPr>
          <w:rStyle w:val="FootnoteReference"/>
          <w:rFonts w:ascii="Times New Roman" w:hAnsi="Times New Roman" w:cs="Times New Roman"/>
          <w:sz w:val="24"/>
          <w:szCs w:val="24"/>
        </w:rPr>
        <w:footnoteRef/>
      </w:r>
      <w:r w:rsidRPr="00A9110A">
        <w:rPr>
          <w:rFonts w:ascii="Times New Roman" w:hAnsi="Times New Roman" w:cs="Times New Roman"/>
          <w:sz w:val="24"/>
          <w:szCs w:val="24"/>
        </w:rPr>
        <w:t xml:space="preserve"> Independent Market Monitor for ERCOT, </w:t>
      </w:r>
      <w:r w:rsidRPr="00A9110A">
        <w:rPr>
          <w:rFonts w:ascii="Times New Roman" w:hAnsi="Times New Roman" w:cs="Times New Roman"/>
          <w:i/>
          <w:iCs/>
          <w:sz w:val="24"/>
          <w:szCs w:val="24"/>
        </w:rPr>
        <w:t>2021 State of the Market Report for the ERCOT Electricity Markets</w:t>
      </w:r>
      <w:r w:rsidRPr="00A9110A">
        <w:rPr>
          <w:rFonts w:ascii="Times New Roman" w:hAnsi="Times New Roman" w:cs="Times New Roman"/>
          <w:sz w:val="24"/>
          <w:szCs w:val="24"/>
        </w:rPr>
        <w:t xml:space="preserve"> (May 2022) at 23, </w:t>
      </w:r>
      <w:r w:rsidRPr="00A9110A">
        <w:rPr>
          <w:rFonts w:ascii="Times New Roman" w:hAnsi="Times New Roman" w:cs="Times New Roman"/>
          <w:i/>
          <w:iCs/>
          <w:sz w:val="24"/>
          <w:szCs w:val="24"/>
        </w:rPr>
        <w:t>available at</w:t>
      </w:r>
      <w:r w:rsidRPr="00A9110A">
        <w:rPr>
          <w:rFonts w:ascii="Times New Roman" w:hAnsi="Times New Roman" w:cs="Times New Roman"/>
          <w:sz w:val="24"/>
          <w:szCs w:val="24"/>
        </w:rPr>
        <w:t xml:space="preserve">: </w:t>
      </w:r>
      <w:hyperlink r:id="rId8" w:history="1">
        <w:r w:rsidRPr="00A9110A">
          <w:rPr>
            <w:rStyle w:val="Hyperlink"/>
            <w:rFonts w:ascii="Times New Roman" w:hAnsi="Times New Roman" w:cs="Times New Roman"/>
            <w:sz w:val="24"/>
            <w:szCs w:val="24"/>
          </w:rPr>
          <w:t>https://www.potomaceconomics.com/wp-content/uploads/2022/05/2021-State-of-the-Market-Report.pdf</w:t>
        </w:r>
      </w:hyperlink>
      <w:r w:rsidRPr="00A9110A">
        <w:rPr>
          <w:rFonts w:ascii="Times New Roman" w:hAnsi="Times New Roman" w:cs="Times New Roman"/>
          <w:sz w:val="24"/>
          <w:szCs w:val="24"/>
        </w:rPr>
        <w:t xml:space="preserve"> (IMM State of the Market Report).</w:t>
      </w:r>
    </w:p>
  </w:footnote>
  <w:footnote w:id="21">
    <w:p w14:paraId="0B81EFE7" w14:textId="5148DAE9" w:rsidR="00A471FA" w:rsidRPr="007F1625" w:rsidRDefault="00A471FA" w:rsidP="00A471FA">
      <w:pPr>
        <w:pStyle w:val="FootnoteText"/>
        <w:rPr>
          <w:rFonts w:ascii="Times New Roman" w:hAnsi="Times New Roman" w:cs="Times New Roman"/>
          <w:sz w:val="24"/>
          <w:szCs w:val="24"/>
        </w:rPr>
      </w:pPr>
      <w:r w:rsidRPr="007F1625">
        <w:rPr>
          <w:rStyle w:val="FootnoteReference"/>
          <w:rFonts w:ascii="Times New Roman" w:hAnsi="Times New Roman" w:cs="Times New Roman"/>
          <w:sz w:val="24"/>
          <w:szCs w:val="24"/>
        </w:rPr>
        <w:footnoteRef/>
      </w:r>
      <w:r w:rsidRPr="007F1625">
        <w:rPr>
          <w:rFonts w:ascii="Times New Roman" w:hAnsi="Times New Roman" w:cs="Times New Roman"/>
          <w:sz w:val="24"/>
          <w:szCs w:val="24"/>
        </w:rPr>
        <w:t xml:space="preserve"> Texas State Senate, 87th Legislature 2021-2022, Texas Senate Bill 3, </w:t>
      </w:r>
      <w:r w:rsidRPr="007F1625">
        <w:rPr>
          <w:rFonts w:ascii="Times New Roman" w:hAnsi="Times New Roman" w:cs="Times New Roman"/>
          <w:i/>
          <w:iCs/>
          <w:sz w:val="24"/>
          <w:szCs w:val="24"/>
        </w:rPr>
        <w:t xml:space="preserve">available at: </w:t>
      </w:r>
      <w:hyperlink r:id="rId9" w:history="1">
        <w:r w:rsidRPr="007F1625">
          <w:rPr>
            <w:rStyle w:val="Hyperlink"/>
            <w:rFonts w:ascii="Times New Roman" w:hAnsi="Times New Roman" w:cs="Times New Roman"/>
            <w:sz w:val="24"/>
            <w:szCs w:val="24"/>
          </w:rPr>
          <w:t>https://legiscan.com/TX/bill/SB3/2021</w:t>
        </w:r>
      </w:hyperlink>
      <w:r w:rsidRPr="007F1625">
        <w:rPr>
          <w:rFonts w:ascii="Times New Roman" w:hAnsi="Times New Roman" w:cs="Times New Roman"/>
          <w:sz w:val="24"/>
          <w:szCs w:val="24"/>
        </w:rPr>
        <w:t>.</w:t>
      </w:r>
    </w:p>
  </w:footnote>
  <w:footnote w:id="22">
    <w:p w14:paraId="1420A717" w14:textId="697288DA" w:rsidR="00B846D3" w:rsidRPr="007F1625" w:rsidRDefault="00B846D3">
      <w:pPr>
        <w:pStyle w:val="FootnoteText"/>
        <w:rPr>
          <w:rFonts w:ascii="Times New Roman" w:hAnsi="Times New Roman" w:cs="Times New Roman"/>
          <w:sz w:val="24"/>
          <w:szCs w:val="24"/>
        </w:rPr>
      </w:pPr>
      <w:r w:rsidRPr="007F1625">
        <w:rPr>
          <w:rStyle w:val="FootnoteReference"/>
          <w:rFonts w:ascii="Times New Roman" w:hAnsi="Times New Roman" w:cs="Times New Roman"/>
          <w:sz w:val="24"/>
          <w:szCs w:val="24"/>
        </w:rPr>
        <w:footnoteRef/>
      </w:r>
      <w:r w:rsidRPr="007F1625">
        <w:rPr>
          <w:rFonts w:ascii="Times New Roman" w:hAnsi="Times New Roman" w:cs="Times New Roman"/>
          <w:sz w:val="24"/>
          <w:szCs w:val="24"/>
        </w:rPr>
        <w:t xml:space="preserve"> </w:t>
      </w:r>
      <w:r w:rsidR="00B26BCC">
        <w:rPr>
          <w:rFonts w:ascii="Times New Roman" w:hAnsi="Times New Roman" w:cs="Times New Roman"/>
          <w:sz w:val="24"/>
          <w:szCs w:val="24"/>
        </w:rPr>
        <w:t xml:space="preserve">Shell Energy North America, DRRS Coalition Comments </w:t>
      </w:r>
      <w:r w:rsidR="00670717">
        <w:rPr>
          <w:rFonts w:ascii="Times New Roman" w:hAnsi="Times New Roman" w:cs="Times New Roman"/>
          <w:sz w:val="24"/>
          <w:szCs w:val="24"/>
        </w:rPr>
        <w:t>(Dec. 15, 2022)</w:t>
      </w:r>
      <w:r w:rsidR="002E418C">
        <w:rPr>
          <w:rFonts w:ascii="Times New Roman" w:hAnsi="Times New Roman" w:cs="Times New Roman"/>
          <w:sz w:val="24"/>
          <w:szCs w:val="24"/>
        </w:rPr>
        <w:t>, Case No. 54335-105, available at</w:t>
      </w:r>
      <w:r w:rsidR="001017FD">
        <w:rPr>
          <w:rFonts w:ascii="Times New Roman" w:hAnsi="Times New Roman" w:cs="Times New Roman"/>
          <w:sz w:val="24"/>
          <w:szCs w:val="24"/>
        </w:rPr>
        <w:t xml:space="preserve"> </w:t>
      </w:r>
      <w:hyperlink r:id="rId10" w:history="1">
        <w:r w:rsidR="001017FD" w:rsidRPr="009513FF">
          <w:rPr>
            <w:rStyle w:val="Hyperlink"/>
            <w:rFonts w:ascii="Times New Roman" w:hAnsi="Times New Roman" w:cs="Times New Roman"/>
            <w:sz w:val="24"/>
            <w:szCs w:val="24"/>
          </w:rPr>
          <w:t>https://interchange.puc.texas.gov/search/documents/?controlNumber=54335&amp;itemNumber=105</w:t>
        </w:r>
      </w:hyperlink>
      <w:r w:rsidR="001017FD">
        <w:rPr>
          <w:rFonts w:ascii="Times New Roman" w:hAnsi="Times New Roman" w:cs="Times New Roman"/>
          <w:sz w:val="24"/>
          <w:szCs w:val="24"/>
        </w:rPr>
        <w:t xml:space="preserve">. </w:t>
      </w:r>
      <w:r w:rsidR="002E418C">
        <w:rPr>
          <w:rFonts w:ascii="Times New Roman" w:hAnsi="Times New Roman" w:cs="Times New Roman"/>
          <w:sz w:val="24"/>
          <w:szCs w:val="24"/>
        </w:rPr>
        <w:t xml:space="preserve"> </w:t>
      </w:r>
    </w:p>
  </w:footnote>
  <w:footnote w:id="23">
    <w:p w14:paraId="07A7FDE5" w14:textId="79B5833B" w:rsidR="002007BF" w:rsidRPr="007F1625" w:rsidRDefault="002007BF" w:rsidP="002007BF">
      <w:pPr>
        <w:pStyle w:val="FootnoteText"/>
        <w:rPr>
          <w:rFonts w:ascii="Times New Roman" w:hAnsi="Times New Roman" w:cs="Times New Roman"/>
          <w:sz w:val="24"/>
          <w:szCs w:val="24"/>
        </w:rPr>
      </w:pPr>
      <w:r w:rsidRPr="007F1625">
        <w:rPr>
          <w:rStyle w:val="FootnoteReference"/>
          <w:rFonts w:ascii="Times New Roman" w:hAnsi="Times New Roman" w:cs="Times New Roman"/>
          <w:sz w:val="24"/>
          <w:szCs w:val="24"/>
        </w:rPr>
        <w:footnoteRef/>
      </w:r>
      <w:r w:rsidRPr="007F1625">
        <w:rPr>
          <w:rFonts w:ascii="Times New Roman" w:hAnsi="Times New Roman" w:cs="Times New Roman"/>
          <w:sz w:val="24"/>
          <w:szCs w:val="24"/>
        </w:rPr>
        <w:t xml:space="preserve"> RIS 2022 at 4.</w:t>
      </w:r>
    </w:p>
  </w:footnote>
  <w:footnote w:id="24">
    <w:p w14:paraId="47740BDD" w14:textId="240475AE" w:rsidR="002824EC" w:rsidRPr="00C2312A" w:rsidRDefault="002824EC">
      <w:pPr>
        <w:pStyle w:val="FootnoteText"/>
        <w:rPr>
          <w:rFonts w:ascii="Times New Roman" w:hAnsi="Times New Roman" w:cs="Times New Roman"/>
          <w:sz w:val="24"/>
          <w:szCs w:val="24"/>
        </w:rPr>
      </w:pPr>
      <w:r w:rsidRPr="00C2312A">
        <w:rPr>
          <w:rStyle w:val="FootnoteReference"/>
          <w:rFonts w:ascii="Times New Roman" w:hAnsi="Times New Roman" w:cs="Times New Roman"/>
          <w:sz w:val="24"/>
          <w:szCs w:val="24"/>
        </w:rPr>
        <w:footnoteRef/>
      </w:r>
      <w:r w:rsidRPr="00C2312A">
        <w:rPr>
          <w:rFonts w:ascii="Times New Roman" w:hAnsi="Times New Roman" w:cs="Times New Roman"/>
          <w:sz w:val="24"/>
          <w:szCs w:val="24"/>
        </w:rPr>
        <w:t xml:space="preserve"> E3 Report at 91. </w:t>
      </w:r>
    </w:p>
  </w:footnote>
  <w:footnote w:id="25">
    <w:p w14:paraId="06827E5B" w14:textId="4E8E991B" w:rsidR="001B0B99" w:rsidRPr="00BB5008" w:rsidRDefault="001B0B99">
      <w:pPr>
        <w:pStyle w:val="FootnoteText"/>
        <w:rPr>
          <w:rFonts w:ascii="Times New Roman" w:hAnsi="Times New Roman" w:cs="Times New Roman"/>
          <w:sz w:val="24"/>
          <w:szCs w:val="24"/>
        </w:rPr>
      </w:pPr>
      <w:r w:rsidRPr="00BB5008">
        <w:rPr>
          <w:rStyle w:val="FootnoteReference"/>
          <w:rFonts w:ascii="Times New Roman" w:hAnsi="Times New Roman" w:cs="Times New Roman"/>
          <w:sz w:val="24"/>
          <w:szCs w:val="24"/>
        </w:rPr>
        <w:footnoteRef/>
      </w:r>
      <w:r w:rsidRPr="00BB5008">
        <w:rPr>
          <w:rFonts w:ascii="Times New Roman" w:hAnsi="Times New Roman" w:cs="Times New Roman"/>
          <w:sz w:val="24"/>
          <w:szCs w:val="24"/>
        </w:rPr>
        <w:t xml:space="preserve"> Southwest Power Pool, </w:t>
      </w:r>
      <w:r w:rsidRPr="00BB5008">
        <w:rPr>
          <w:rFonts w:ascii="Times New Roman" w:hAnsi="Times New Roman" w:cs="Times New Roman"/>
          <w:i/>
          <w:iCs/>
          <w:sz w:val="24"/>
          <w:szCs w:val="24"/>
        </w:rPr>
        <w:t xml:space="preserve">Expected Unserved Energy (EUE), </w:t>
      </w:r>
      <w:r w:rsidRPr="00BB5008">
        <w:rPr>
          <w:rFonts w:ascii="Times New Roman" w:hAnsi="Times New Roman" w:cs="Times New Roman"/>
          <w:sz w:val="24"/>
          <w:szCs w:val="24"/>
        </w:rPr>
        <w:t>November SAWG Meeting</w:t>
      </w:r>
      <w:r w:rsidR="00793CD1">
        <w:rPr>
          <w:rFonts w:ascii="Times New Roman" w:hAnsi="Times New Roman" w:cs="Times New Roman"/>
          <w:sz w:val="24"/>
          <w:szCs w:val="24"/>
        </w:rPr>
        <w:t xml:space="preserve">, available at </w:t>
      </w:r>
      <w:r w:rsidRPr="00BB5008">
        <w:rPr>
          <w:rFonts w:ascii="Times New Roman" w:hAnsi="Times New Roman" w:cs="Times New Roman"/>
          <w:sz w:val="24"/>
          <w:szCs w:val="24"/>
        </w:rPr>
        <w:t xml:space="preserve"> </w:t>
      </w:r>
      <w:hyperlink r:id="rId11" w:history="1">
        <w:r w:rsidR="00793CD1" w:rsidRPr="009513FF">
          <w:rPr>
            <w:rStyle w:val="Hyperlink"/>
            <w:rFonts w:ascii="Times New Roman" w:hAnsi="Times New Roman" w:cs="Times New Roman"/>
            <w:sz w:val="24"/>
            <w:szCs w:val="24"/>
          </w:rPr>
          <w:t>https://spp.org/Documents/68194/sawg%20agenda%20&amp;%20background%20materials%2020221109-10.zip</w:t>
        </w:r>
      </w:hyperlink>
      <w:r w:rsidR="00793CD1">
        <w:rPr>
          <w:rFonts w:ascii="Times New Roman" w:hAnsi="Times New Roman" w:cs="Times New Roman"/>
          <w:sz w:val="24"/>
          <w:szCs w:val="24"/>
        </w:rPr>
        <w:t xml:space="preserve">. </w:t>
      </w:r>
    </w:p>
  </w:footnote>
  <w:footnote w:id="26">
    <w:p w14:paraId="2F1DAF37" w14:textId="17502436" w:rsidR="004813F2" w:rsidRPr="00BB5008" w:rsidRDefault="004813F2" w:rsidP="004813F2">
      <w:pPr>
        <w:pBdr>
          <w:top w:val="nil"/>
          <w:left w:val="nil"/>
          <w:bottom w:val="nil"/>
          <w:right w:val="nil"/>
          <w:between w:val="nil"/>
        </w:pBdr>
        <w:rPr>
          <w:rFonts w:ascii="Times New Roman" w:hAnsi="Times New Roman" w:cs="Times New Roman"/>
          <w:color w:val="000000"/>
          <w:sz w:val="24"/>
          <w:szCs w:val="24"/>
        </w:rPr>
      </w:pPr>
      <w:r w:rsidRPr="00BB5008">
        <w:rPr>
          <w:rStyle w:val="FootnoteReference"/>
          <w:rFonts w:ascii="Times New Roman" w:hAnsi="Times New Roman" w:cs="Times New Roman"/>
          <w:sz w:val="24"/>
          <w:szCs w:val="24"/>
        </w:rPr>
        <w:footnoteRef/>
      </w:r>
      <w:r w:rsidRPr="00BB5008">
        <w:rPr>
          <w:rFonts w:ascii="Times New Roman" w:hAnsi="Times New Roman" w:cs="Times New Roman"/>
          <w:color w:val="000000"/>
          <w:sz w:val="24"/>
          <w:szCs w:val="24"/>
        </w:rPr>
        <w:t xml:space="preserve"> Patrick Milligin, </w:t>
      </w:r>
      <w:r w:rsidRPr="001F7E7A">
        <w:rPr>
          <w:rFonts w:ascii="Times New Roman" w:hAnsi="Times New Roman" w:cs="Times New Roman"/>
          <w:i/>
          <w:iCs/>
          <w:color w:val="000000"/>
          <w:sz w:val="24"/>
          <w:szCs w:val="24"/>
        </w:rPr>
        <w:t>Winter Storms Wreak Havoc on ERCOT Grid</w:t>
      </w:r>
      <w:r w:rsidRPr="00BB5008">
        <w:rPr>
          <w:rFonts w:ascii="Times New Roman" w:hAnsi="Times New Roman" w:cs="Times New Roman"/>
          <w:color w:val="000000"/>
          <w:sz w:val="24"/>
          <w:szCs w:val="24"/>
        </w:rPr>
        <w:t xml:space="preserve">, ICF Insights / Energy, </w:t>
      </w:r>
      <w:r w:rsidR="001F7E7A">
        <w:rPr>
          <w:rFonts w:ascii="Times New Roman" w:hAnsi="Times New Roman" w:cs="Times New Roman"/>
          <w:color w:val="000000"/>
          <w:sz w:val="24"/>
          <w:szCs w:val="24"/>
        </w:rPr>
        <w:t>(</w:t>
      </w:r>
      <w:r w:rsidRPr="00BB5008">
        <w:rPr>
          <w:rFonts w:ascii="Times New Roman" w:hAnsi="Times New Roman" w:cs="Times New Roman"/>
          <w:color w:val="000000"/>
          <w:sz w:val="24"/>
          <w:szCs w:val="24"/>
        </w:rPr>
        <w:t>Feb. 23, 2021</w:t>
      </w:r>
      <w:r w:rsidR="001F7E7A">
        <w:rPr>
          <w:rFonts w:ascii="Times New Roman" w:hAnsi="Times New Roman" w:cs="Times New Roman"/>
          <w:color w:val="000000"/>
          <w:sz w:val="24"/>
          <w:szCs w:val="24"/>
        </w:rPr>
        <w:t xml:space="preserve">), </w:t>
      </w:r>
      <w:r w:rsidRPr="00BB5008">
        <w:rPr>
          <w:rFonts w:ascii="Times New Roman" w:hAnsi="Times New Roman" w:cs="Times New Roman"/>
          <w:color w:val="000000"/>
          <w:sz w:val="24"/>
          <w:szCs w:val="24"/>
        </w:rPr>
        <w:t>available at</w:t>
      </w:r>
      <w:r w:rsidR="001F7E7A">
        <w:rPr>
          <w:rFonts w:ascii="Times New Roman" w:hAnsi="Times New Roman" w:cs="Times New Roman"/>
          <w:color w:val="000000"/>
          <w:sz w:val="24"/>
          <w:szCs w:val="24"/>
        </w:rPr>
        <w:t xml:space="preserve"> </w:t>
      </w:r>
      <w:hyperlink r:id="rId12" w:history="1">
        <w:r w:rsidR="001F7E7A" w:rsidRPr="009513FF">
          <w:rPr>
            <w:rStyle w:val="Hyperlink"/>
            <w:rFonts w:ascii="Times New Roman" w:hAnsi="Times New Roman" w:cs="Times New Roman"/>
            <w:sz w:val="24"/>
            <w:szCs w:val="24"/>
          </w:rPr>
          <w:t>https://www.icf.com/insights/energy/winter-storms-ercot-grid</w:t>
        </w:r>
      </w:hyperlink>
      <w:r w:rsidRPr="00BB5008">
        <w:rPr>
          <w:rFonts w:ascii="Times New Roman" w:hAnsi="Times New Roman" w:cs="Times New Roman"/>
          <w:color w:val="000000"/>
          <w:sz w:val="24"/>
          <w:szCs w:val="24"/>
        </w:rPr>
        <w:t xml:space="preserve">.  </w:t>
      </w:r>
    </w:p>
  </w:footnote>
  <w:footnote w:id="27">
    <w:p w14:paraId="74A261B9" w14:textId="1B7351B0" w:rsidR="00F33148" w:rsidRPr="00386544" w:rsidRDefault="00F33148">
      <w:pPr>
        <w:pStyle w:val="FootnoteText"/>
        <w:rPr>
          <w:rFonts w:ascii="Times New Roman" w:hAnsi="Times New Roman" w:cs="Times New Roman"/>
          <w:sz w:val="24"/>
          <w:szCs w:val="24"/>
        </w:rPr>
      </w:pPr>
      <w:r w:rsidRPr="00213108">
        <w:rPr>
          <w:rStyle w:val="FootnoteReference"/>
          <w:rFonts w:ascii="Times New Roman" w:hAnsi="Times New Roman" w:cs="Times New Roman"/>
          <w:sz w:val="24"/>
          <w:szCs w:val="24"/>
        </w:rPr>
        <w:footnoteRef/>
      </w:r>
      <w:r w:rsidRPr="00213108">
        <w:rPr>
          <w:rFonts w:ascii="Times New Roman" w:hAnsi="Times New Roman" w:cs="Times New Roman"/>
          <w:sz w:val="24"/>
          <w:szCs w:val="24"/>
        </w:rPr>
        <w:t xml:space="preserve"> </w:t>
      </w:r>
      <w:r w:rsidR="00EB755C">
        <w:rPr>
          <w:rFonts w:ascii="Times New Roman" w:hAnsi="Times New Roman" w:cs="Times New Roman"/>
          <w:sz w:val="24"/>
          <w:szCs w:val="24"/>
        </w:rPr>
        <w:t xml:space="preserve">The Brattle Group, </w:t>
      </w:r>
      <w:r w:rsidR="00EB755C">
        <w:rPr>
          <w:rFonts w:ascii="Times New Roman" w:hAnsi="Times New Roman" w:cs="Times New Roman"/>
          <w:i/>
          <w:iCs/>
          <w:sz w:val="24"/>
          <w:szCs w:val="24"/>
        </w:rPr>
        <w:t xml:space="preserve">Estimating the Economically Optimal Reserve Margin </w:t>
      </w:r>
      <w:r w:rsidR="00157C3C">
        <w:rPr>
          <w:rFonts w:ascii="Times New Roman" w:hAnsi="Times New Roman" w:cs="Times New Roman"/>
          <w:i/>
          <w:iCs/>
          <w:sz w:val="24"/>
          <w:szCs w:val="24"/>
        </w:rPr>
        <w:t xml:space="preserve">in ERCOT </w:t>
      </w:r>
      <w:r w:rsidR="00157C3C">
        <w:rPr>
          <w:rFonts w:ascii="Times New Roman" w:hAnsi="Times New Roman" w:cs="Times New Roman"/>
          <w:sz w:val="24"/>
          <w:szCs w:val="24"/>
        </w:rPr>
        <w:t>(Jan. 31, 2014)</w:t>
      </w:r>
      <w:r w:rsidR="007F4872">
        <w:rPr>
          <w:rFonts w:ascii="Times New Roman" w:hAnsi="Times New Roman" w:cs="Times New Roman"/>
          <w:sz w:val="24"/>
          <w:szCs w:val="24"/>
        </w:rPr>
        <w:t>, available</w:t>
      </w:r>
      <w:r w:rsidR="00793CD1">
        <w:rPr>
          <w:rFonts w:ascii="Times New Roman" w:hAnsi="Times New Roman" w:cs="Times New Roman"/>
          <w:sz w:val="24"/>
          <w:szCs w:val="24"/>
        </w:rPr>
        <w:t xml:space="preserve"> </w:t>
      </w:r>
      <w:r w:rsidR="00793CD1" w:rsidRPr="00793CD1">
        <w:rPr>
          <w:rFonts w:ascii="Times New Roman" w:hAnsi="Times New Roman" w:cs="Times New Roman"/>
          <w:sz w:val="24"/>
          <w:szCs w:val="24"/>
        </w:rPr>
        <w:t xml:space="preserve">at </w:t>
      </w:r>
      <w:hyperlink r:id="rId13" w:history="1">
        <w:r w:rsidR="00793CD1" w:rsidRPr="009513FF">
          <w:rPr>
            <w:rStyle w:val="Hyperlink"/>
            <w:rFonts w:ascii="Times New Roman" w:hAnsi="Times New Roman" w:cs="Times New Roman"/>
            <w:sz w:val="24"/>
            <w:szCs w:val="24"/>
          </w:rPr>
          <w:t>https://www.brattle.com/wp-content/uploads/2017/10/7641_estimating_the_economically_optimal_reserve_margin_in_ercot.pdf</w:t>
        </w:r>
      </w:hyperlink>
      <w:r w:rsidR="00793CD1">
        <w:rPr>
          <w:rFonts w:ascii="Times New Roman" w:hAnsi="Times New Roman" w:cs="Times New Roman"/>
          <w:sz w:val="24"/>
          <w:szCs w:val="24"/>
        </w:rPr>
        <w:t xml:space="preserve"> </w:t>
      </w:r>
      <w:r w:rsidR="007F4872">
        <w:rPr>
          <w:rFonts w:ascii="Times New Roman" w:hAnsi="Times New Roman" w:cs="Times New Roman"/>
          <w:sz w:val="24"/>
          <w:szCs w:val="24"/>
        </w:rPr>
        <w:t>.</w:t>
      </w:r>
      <w:r w:rsidRPr="00213108">
        <w:rPr>
          <w:rFonts w:ascii="Times New Roman" w:hAnsi="Times New Roman" w:cs="Times New Roman"/>
          <w:sz w:val="24"/>
          <w:szCs w:val="24"/>
        </w:rPr>
        <w:t xml:space="preserve"> </w:t>
      </w:r>
    </w:p>
  </w:footnote>
  <w:footnote w:id="28">
    <w:p w14:paraId="1BA08675" w14:textId="19EB6553" w:rsidR="0084081E" w:rsidRPr="006060E8" w:rsidRDefault="0084081E" w:rsidP="0084081E">
      <w:pPr>
        <w:pStyle w:val="NormalWeb"/>
        <w:spacing w:before="0" w:beforeAutospacing="0" w:after="0" w:afterAutospacing="0" w:line="480" w:lineRule="auto"/>
        <w:jc w:val="both"/>
      </w:pPr>
      <w:r w:rsidRPr="006060E8">
        <w:rPr>
          <w:rStyle w:val="FootnoteReference"/>
        </w:rPr>
        <w:footnoteRef/>
      </w:r>
      <w:r w:rsidRPr="006060E8">
        <w:t xml:space="preserve"> </w:t>
      </w:r>
      <w:r w:rsidRPr="00EC0702">
        <w:t>E</w:t>
      </w:r>
      <w:r w:rsidRPr="006060E8">
        <w:t xml:space="preserve">3 Report at 126. </w:t>
      </w:r>
    </w:p>
    <w:p w14:paraId="4485B0A3" w14:textId="7852F7B0" w:rsidR="0084081E" w:rsidRPr="00EC0702" w:rsidRDefault="0084081E">
      <w:pPr>
        <w:pStyle w:val="FootnoteText"/>
        <w:rPr>
          <w:rFonts w:ascii="Times New Roman" w:hAnsi="Times New Roman" w:cs="Times New Roman"/>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5295770"/>
      <w:docPartObj>
        <w:docPartGallery w:val="Page Numbers (Top of Page)"/>
        <w:docPartUnique/>
      </w:docPartObj>
    </w:sdtPr>
    <w:sdtEndPr>
      <w:rPr>
        <w:noProof/>
      </w:rPr>
    </w:sdtEndPr>
    <w:sdtContent>
      <w:p w14:paraId="59679F0E" w14:textId="589406EC" w:rsidR="00482753" w:rsidRDefault="00482753">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F4E0398" w14:textId="77777777" w:rsidR="0055604D" w:rsidRDefault="0055604D">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Pa9JIQ9h" int2:invalidationBookmarkName="" int2:hashCode="RoHRJMxsS3O6q/" int2:id="0lt8ZkAG"/>
    <int2:bookmark int2:bookmarkName="_Int_axDjrT9b" int2:invalidationBookmarkName="" int2:hashCode="sOMNokJDVJOJxR" int2:id="1KEg1n6B">
      <int2:state int2:value="Rejected" int2:type="AugLoop_Text_Critique"/>
    </int2:bookmark>
    <int2:bookmark int2:bookmarkName="_Int_d1axcRG0" int2:invalidationBookmarkName="" int2:hashCode="/kYx12bMpLZCBE" int2:id="36YlV4pz">
      <int2:state int2:value="Rejected" int2:type="AugLoop_Acronyms_AcronymsCritique"/>
    </int2:bookmark>
    <int2:bookmark int2:bookmarkName="_Int_sQlaPDon" int2:invalidationBookmarkName="" int2:hashCode="X+T/RLmgqiy6lO" int2:id="3tUlRGKp"/>
    <int2:bookmark int2:bookmarkName="_Int_jTyVIraW" int2:invalidationBookmarkName="" int2:hashCode="RoHRJMxsS3O6q/" int2:id="42qk7NXZ"/>
    <int2:bookmark int2:bookmarkName="_Int_APaNYSmZ" int2:invalidationBookmarkName="" int2:hashCode="kc+u9bAuqi/XHf" int2:id="4LcoLe1L"/>
    <int2:bookmark int2:bookmarkName="_Int_iCzl68Po" int2:invalidationBookmarkName="" int2:hashCode="RoHRJMxsS3O6q/" int2:id="4hLJ7VS4"/>
    <int2:bookmark int2:bookmarkName="_Int_ZD3lpSaz" int2:invalidationBookmarkName="" int2:hashCode="X+T/RLmgqiy6lO" int2:id="8qy8FJ6W"/>
    <int2:bookmark int2:bookmarkName="_Int_HgFXFHeN" int2:invalidationBookmarkName="" int2:hashCode="yuV4UsOgI/rURI" int2:id="A0axAWR6">
      <int2:state int2:value="Rejected" int2:type="AugLoop_Acronyms_AcronymsCritique"/>
    </int2:bookmark>
    <int2:bookmark int2:bookmarkName="_Int_yKGWXaF2" int2:invalidationBookmarkName="" int2:hashCode="e0dMsLOcF3PXGS" int2:id="Bq56Xjld">
      <int2:state int2:value="Rejected" int2:type="AugLoop_Text_Critique"/>
    </int2:bookmark>
    <int2:bookmark int2:bookmarkName="_Int_tsckPEJE" int2:invalidationBookmarkName="" int2:hashCode="w+QxTfjw29oJ9w" int2:id="IklK4Wpd">
      <int2:state int2:value="Rejected" int2:type="AugLoop_Acronyms_AcronymsCritique"/>
    </int2:bookmark>
    <int2:bookmark int2:bookmarkName="_Int_HEwSbXTY" int2:invalidationBookmarkName="" int2:hashCode="T+FjEVddm0p83+" int2:id="KvqtUtsX">
      <int2:state int2:value="Rejected" int2:type="AugLoop_Acronyms_AcronymsCritique"/>
    </int2:bookmark>
    <int2:bookmark int2:bookmarkName="_Int_a6xLxzlX" int2:invalidationBookmarkName="" int2:hashCode="vRaZnLtxr83bwA" int2:id="MOl8ZH9J">
      <int2:state int2:value="Rejected" int2:type="AugLoop_Text_Critique"/>
    </int2:bookmark>
    <int2:bookmark int2:bookmarkName="_Int_gmPuf8i2" int2:invalidationBookmarkName="" int2:hashCode="vf8dzbRNA5eLgj" int2:id="P65SdX8H"/>
    <int2:bookmark int2:bookmarkName="_Int_6FyTqvl1" int2:invalidationBookmarkName="" int2:hashCode="Amad1TDecOO61G" int2:id="PDBmsHZ9">
      <int2:state int2:value="Rejected" int2:type="AugLoop_Text_Critique"/>
    </int2:bookmark>
    <int2:bookmark int2:bookmarkName="_Int_rK0qq2Ej" int2:invalidationBookmarkName="" int2:hashCode="RoHRJMxsS3O6q/" int2:id="POj9sNzs"/>
    <int2:bookmark int2:bookmarkName="_Int_zHRmsu11" int2:invalidationBookmarkName="" int2:hashCode="X+T/RLmgqiy6lO" int2:id="QRGXdOpK"/>
    <int2:bookmark int2:bookmarkName="_Int_fSfE12Rg" int2:invalidationBookmarkName="" int2:hashCode="X+T/RLmgqiy6lO" int2:id="QZe2I8gD"/>
    <int2:bookmark int2:bookmarkName="_Int_LQrcgH4Z" int2:invalidationBookmarkName="" int2:hashCode="W6w5k0TrLhBKm8" int2:id="QzjVqy3g"/>
    <int2:bookmark int2:bookmarkName="_Int_Rt6LZafK" int2:invalidationBookmarkName="" int2:hashCode="U2aDwvr2OMMgTX" int2:id="UdueH0BP"/>
    <int2:bookmark int2:bookmarkName="_Int_4fvTLX7N" int2:invalidationBookmarkName="" int2:hashCode="Y3cNKVeQBGoHtF" int2:id="VNOS6J5g">
      <int2:state int2:value="Rejected" int2:type="AugLoop_Acronyms_AcronymsCritique"/>
    </int2:bookmark>
    <int2:bookmark int2:bookmarkName="_Int_f5zcK96z" int2:invalidationBookmarkName="" int2:hashCode="jq1S0521xvObpH" int2:id="XKlQW5HI"/>
    <int2:bookmark int2:bookmarkName="_Int_uKR5ueqC" int2:invalidationBookmarkName="" int2:hashCode="Jk5liG7FQppduv" int2:id="YxH3yH7h"/>
    <int2:bookmark int2:bookmarkName="_Int_zEpYNzOO" int2:invalidationBookmarkName="" int2:hashCode="r69YCgSuaHVOFZ" int2:id="ZHxmh4Hy">
      <int2:state int2:value="Rejected" int2:type="AugLoop_Acronyms_AcronymsCritique"/>
    </int2:bookmark>
    <int2:bookmark int2:bookmarkName="_Int_Y6LTv3rN" int2:invalidationBookmarkName="" int2:hashCode="RL8Sfp4yy+23If" int2:id="cEwjuLv5"/>
    <int2:bookmark int2:bookmarkName="_Int_BJRhW2sJ" int2:invalidationBookmarkName="" int2:hashCode="jq1S0521xvObpH" int2:id="cLw3xp2D">
      <int2:state int2:value="Rejected" int2:type="AugLoop_Acronyms_AcronymsCritique"/>
    </int2:bookmark>
    <int2:bookmark int2:bookmarkName="_Int_0tXhRvvT" int2:invalidationBookmarkName="" int2:hashCode="SPW0sFXDTAtd5h" int2:id="eaCHlKWI"/>
    <int2:bookmark int2:bookmarkName="_Int_4m7eG8Y8" int2:invalidationBookmarkName="" int2:hashCode="NTHtwp3ziAyaTF" int2:id="fJg3OxZX">
      <int2:state int2:value="Rejected" int2:type="AugLoop_Text_Critique"/>
    </int2:bookmark>
    <int2:bookmark int2:bookmarkName="_Int_ixmRxra0" int2:invalidationBookmarkName="" int2:hashCode="xeTLgLONijXkig" int2:id="fanrY4qC"/>
    <int2:bookmark int2:bookmarkName="_Int_yLu3CF2b" int2:invalidationBookmarkName="" int2:hashCode="sOMNokJDVJOJxR" int2:id="gy3i0dHW">
      <int2:state int2:value="Rejected" int2:type="AugLoop_Text_Critique"/>
    </int2:bookmark>
    <int2:bookmark int2:bookmarkName="_Int_OuNm5jo9" int2:invalidationBookmarkName="" int2:hashCode="MQi1e8vMfavWHB" int2:id="hVwVPAnp">
      <int2:state int2:value="Rejected" int2:type="AugLoop_Acronyms_AcronymsCritique"/>
    </int2:bookmark>
    <int2:bookmark int2:bookmarkName="_Int_TiGqTzFh" int2:invalidationBookmarkName="" int2:hashCode="0U/6kdStSU34WK" int2:id="nElnAQF8">
      <int2:state int2:value="Rejected" int2:type="AugLoop_Text_Critique"/>
    </int2:bookmark>
    <int2:bookmark int2:bookmarkName="_Int_VZoox565" int2:invalidationBookmarkName="" int2:hashCode="go6CBamZ2R+mhn" int2:id="nQkpRfL9"/>
    <int2:bookmark int2:bookmarkName="_Int_7R8PNYJI" int2:invalidationBookmarkName="" int2:hashCode="RoHRJMxsS3O6q/" int2:id="pJRKPBIY"/>
    <int2:bookmark int2:bookmarkName="_Int_gqwpZMrd" int2:invalidationBookmarkName="" int2:hashCode="Or+Xvyw7l0EqF4" int2:id="qxMQxI46">
      <int2:state int2:value="Rejected" int2:type="LegacyProofing"/>
    </int2:bookmark>
    <int2:bookmark int2:bookmarkName="_Int_eKeZ4449" int2:invalidationBookmarkName="" int2:hashCode="v32Pn07+eBMv7R" int2:id="s3rCw7HQ">
      <int2:state int2:value="Rejected" int2:type="AugLoop_Text_Critique"/>
    </int2:bookmark>
    <int2:bookmark int2:bookmarkName="_Int_jFLGEem1" int2:invalidationBookmarkName="" int2:hashCode="islLU2pLwA281N" int2:id="sBzy2mYi">
      <int2:state int2:value="Rejected" int2:type="AugLoop_Text_Critique"/>
    </int2:bookmark>
    <int2:bookmark int2:bookmarkName="_Int_qZi864Iu" int2:invalidationBookmarkName="" int2:hashCode="W3WqDBeF0iCYE1" int2:id="uZFot0Fb">
      <int2:state int2:value="Rejected" int2:type="AugLoop_Text_Critique"/>
    </int2:bookmark>
    <int2:bookmark int2:bookmarkName="_Int_qQcqV8RS" int2:invalidationBookmarkName="" int2:hashCode="o75eiM+w2wQbug" int2:id="v32ziseO"/>
    <int2:bookmark int2:bookmarkName="_Int_0SiGuLi3" int2:invalidationBookmarkName="" int2:hashCode="zohvQbD7Bx54xL" int2:id="vjvJD1xA">
      <int2:state int2:value="Rejected" int2:type="AugLoop_Acronyms_AcronymsCritique"/>
    </int2:bookmark>
    <int2:bookmark int2:bookmarkName="_Int_it3PuYRb" int2:invalidationBookmarkName="" int2:hashCode="X+T/RLmgqiy6lO" int2:id="xBvKIvpI"/>
    <int2:bookmark int2:bookmarkName="_Int_aBdPDAbJ" int2:invalidationBookmarkName="" int2:hashCode="X+T/RLmgqiy6lO" int2:id="xHtUMwEl"/>
    <int2:bookmark int2:bookmarkName="_Int_BDhf0Z5h" int2:invalidationBookmarkName="" int2:hashCode="X+T/RLmgqiy6lO" int2:id="xM32nDFt"/>
    <int2:bookmark int2:bookmarkName="_Int_WrTUQGzj" int2:invalidationBookmarkName="" int2:hashCode="OOZ+frJlm2D3lP" int2:id="yzNY1wRP">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E3EC9"/>
    <w:multiLevelType w:val="hybridMultilevel"/>
    <w:tmpl w:val="95E86230"/>
    <w:lvl w:ilvl="0" w:tplc="FFFFFFFF">
      <w:start w:val="1"/>
      <w:numFmt w:val="decimal"/>
      <w:lvlText w:val="%1."/>
      <w:lvlJc w:val="left"/>
      <w:pPr>
        <w:ind w:left="1440" w:hanging="72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E57643A"/>
    <w:multiLevelType w:val="hybridMultilevel"/>
    <w:tmpl w:val="79286492"/>
    <w:lvl w:ilvl="0" w:tplc="63E835E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9722C"/>
    <w:multiLevelType w:val="hybridMultilevel"/>
    <w:tmpl w:val="14D6D690"/>
    <w:lvl w:ilvl="0" w:tplc="0409000F">
      <w:start w:val="1"/>
      <w:numFmt w:val="decimal"/>
      <w:lvlText w:val="%1."/>
      <w:lvlJc w:val="left"/>
      <w:pPr>
        <w:ind w:left="1440" w:hanging="72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3DF0079"/>
    <w:multiLevelType w:val="hybridMultilevel"/>
    <w:tmpl w:val="98709890"/>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D637ED"/>
    <w:multiLevelType w:val="hybridMultilevel"/>
    <w:tmpl w:val="6C1E3ADC"/>
    <w:lvl w:ilvl="0" w:tplc="0409000F">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27A87FBE"/>
    <w:multiLevelType w:val="hybridMultilevel"/>
    <w:tmpl w:val="E2A46384"/>
    <w:lvl w:ilvl="0" w:tplc="63E835E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F96698"/>
    <w:multiLevelType w:val="hybridMultilevel"/>
    <w:tmpl w:val="487C4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E1B74"/>
    <w:multiLevelType w:val="hybridMultilevel"/>
    <w:tmpl w:val="61AA5486"/>
    <w:lvl w:ilvl="0" w:tplc="5AB40D90">
      <w:start w:val="1"/>
      <w:numFmt w:val="decimal"/>
      <w:lvlText w:val="%1."/>
      <w:lvlJc w:val="left"/>
      <w:pPr>
        <w:ind w:left="360" w:hanging="360"/>
      </w:pPr>
      <w:rPr>
        <w:rFonts w:hint="default"/>
        <w:b/>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6A51675"/>
    <w:multiLevelType w:val="multilevel"/>
    <w:tmpl w:val="52EA59A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4BB471F5"/>
    <w:multiLevelType w:val="multilevel"/>
    <w:tmpl w:val="1D4C3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2B6143"/>
    <w:multiLevelType w:val="hybridMultilevel"/>
    <w:tmpl w:val="13E82A4E"/>
    <w:lvl w:ilvl="0" w:tplc="DAC42A7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0296B0A"/>
    <w:multiLevelType w:val="multilevel"/>
    <w:tmpl w:val="7214D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7604A1"/>
    <w:multiLevelType w:val="hybridMultilevel"/>
    <w:tmpl w:val="CC58FCB6"/>
    <w:lvl w:ilvl="0" w:tplc="55620FC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C07D51"/>
    <w:multiLevelType w:val="hybridMultilevel"/>
    <w:tmpl w:val="D1C64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DF2A02"/>
    <w:multiLevelType w:val="hybridMultilevel"/>
    <w:tmpl w:val="62CCC0EC"/>
    <w:lvl w:ilvl="0" w:tplc="20746D32">
      <w:start w:val="1"/>
      <w:numFmt w:val="decimal"/>
      <w:lvlText w:val="%1."/>
      <w:lvlJc w:val="left"/>
      <w:pPr>
        <w:ind w:left="720" w:hanging="360"/>
      </w:pPr>
      <w:rPr>
        <w:rFonts w:ascii="Times New Roman" w:hAnsi="Times New Roman" w:cs="Times New Roman" w:hint="default"/>
      </w:rPr>
    </w:lvl>
    <w:lvl w:ilvl="1" w:tplc="907A1BB6">
      <w:start w:val="1"/>
      <w:numFmt w:val="lowerLetter"/>
      <w:lvlText w:val="%2."/>
      <w:lvlJc w:val="left"/>
      <w:pPr>
        <w:ind w:left="1440" w:hanging="360"/>
      </w:pPr>
      <w:rPr>
        <w:rFonts w:ascii="Times New Roman" w:hAnsi="Times New Roman" w:cs="Times New Roman" w:hint="default"/>
      </w:rPr>
    </w:lvl>
    <w:lvl w:ilvl="2" w:tplc="4BCC2704">
      <w:start w:val="1"/>
      <w:numFmt w:val="lowerRoman"/>
      <w:lvlText w:val="%3."/>
      <w:lvlJc w:val="right"/>
      <w:pPr>
        <w:ind w:left="2160" w:hanging="180"/>
      </w:pPr>
    </w:lvl>
    <w:lvl w:ilvl="3" w:tplc="22C4FD36">
      <w:start w:val="1"/>
      <w:numFmt w:val="decimal"/>
      <w:lvlText w:val="%4."/>
      <w:lvlJc w:val="left"/>
      <w:pPr>
        <w:ind w:left="2880" w:hanging="360"/>
      </w:pPr>
    </w:lvl>
    <w:lvl w:ilvl="4" w:tplc="94DAEFFA">
      <w:start w:val="1"/>
      <w:numFmt w:val="lowerLetter"/>
      <w:lvlText w:val="%5."/>
      <w:lvlJc w:val="left"/>
      <w:pPr>
        <w:ind w:left="3600" w:hanging="360"/>
      </w:pPr>
    </w:lvl>
    <w:lvl w:ilvl="5" w:tplc="0944BDC0">
      <w:start w:val="1"/>
      <w:numFmt w:val="lowerRoman"/>
      <w:lvlText w:val="%6."/>
      <w:lvlJc w:val="right"/>
      <w:pPr>
        <w:ind w:left="4320" w:hanging="180"/>
      </w:pPr>
    </w:lvl>
    <w:lvl w:ilvl="6" w:tplc="0B6C9996">
      <w:start w:val="1"/>
      <w:numFmt w:val="decimal"/>
      <w:lvlText w:val="%7."/>
      <w:lvlJc w:val="left"/>
      <w:pPr>
        <w:ind w:left="5040" w:hanging="360"/>
      </w:pPr>
    </w:lvl>
    <w:lvl w:ilvl="7" w:tplc="B4A005D8">
      <w:start w:val="1"/>
      <w:numFmt w:val="lowerLetter"/>
      <w:lvlText w:val="%8."/>
      <w:lvlJc w:val="left"/>
      <w:pPr>
        <w:ind w:left="5760" w:hanging="360"/>
      </w:pPr>
    </w:lvl>
    <w:lvl w:ilvl="8" w:tplc="92901D5A">
      <w:start w:val="1"/>
      <w:numFmt w:val="lowerRoman"/>
      <w:lvlText w:val="%9."/>
      <w:lvlJc w:val="right"/>
      <w:pPr>
        <w:ind w:left="6480" w:hanging="180"/>
      </w:pPr>
    </w:lvl>
  </w:abstractNum>
  <w:abstractNum w:abstractNumId="15" w15:restartNumberingAfterBreak="0">
    <w:nsid w:val="684269F3"/>
    <w:multiLevelType w:val="hybridMultilevel"/>
    <w:tmpl w:val="79F06BBA"/>
    <w:lvl w:ilvl="0" w:tplc="7280187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F04279"/>
    <w:multiLevelType w:val="multilevel"/>
    <w:tmpl w:val="C90ED7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76B129F"/>
    <w:multiLevelType w:val="hybridMultilevel"/>
    <w:tmpl w:val="5B58A3BC"/>
    <w:lvl w:ilvl="0" w:tplc="755015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8428698">
    <w:abstractNumId w:val="4"/>
  </w:num>
  <w:num w:numId="2" w16cid:durableId="944537072">
    <w:abstractNumId w:val="1"/>
  </w:num>
  <w:num w:numId="3" w16cid:durableId="36396801">
    <w:abstractNumId w:val="13"/>
  </w:num>
  <w:num w:numId="4" w16cid:durableId="2105219788">
    <w:abstractNumId w:val="6"/>
  </w:num>
  <w:num w:numId="5" w16cid:durableId="617100335">
    <w:abstractNumId w:val="5"/>
  </w:num>
  <w:num w:numId="6" w16cid:durableId="1079012283">
    <w:abstractNumId w:val="17"/>
  </w:num>
  <w:num w:numId="7" w16cid:durableId="608780506">
    <w:abstractNumId w:val="15"/>
  </w:num>
  <w:num w:numId="8" w16cid:durableId="867794934">
    <w:abstractNumId w:val="9"/>
    <w:lvlOverride w:ilvl="0">
      <w:startOverride w:val="1"/>
    </w:lvlOverride>
  </w:num>
  <w:num w:numId="9" w16cid:durableId="1636521494">
    <w:abstractNumId w:val="2"/>
  </w:num>
  <w:num w:numId="10" w16cid:durableId="563833153">
    <w:abstractNumId w:val="12"/>
  </w:num>
  <w:num w:numId="11" w16cid:durableId="1596935788">
    <w:abstractNumId w:val="0"/>
  </w:num>
  <w:num w:numId="12" w16cid:durableId="16397500">
    <w:abstractNumId w:val="14"/>
  </w:num>
  <w:num w:numId="13" w16cid:durableId="631012972">
    <w:abstractNumId w:val="8"/>
    <w:lvlOverride w:ilvl="0">
      <w:startOverride w:val="1"/>
    </w:lvlOverride>
  </w:num>
  <w:num w:numId="14" w16cid:durableId="1150320357">
    <w:abstractNumId w:val="16"/>
    <w:lvlOverride w:ilvl="0">
      <w:startOverride w:val="1"/>
    </w:lvlOverride>
  </w:num>
  <w:num w:numId="15" w16cid:durableId="1449281172">
    <w:abstractNumId w:val="11"/>
    <w:lvlOverride w:ilvl="0">
      <w:startOverride w:val="1"/>
    </w:lvlOverride>
  </w:num>
  <w:num w:numId="16" w16cid:durableId="1335499036">
    <w:abstractNumId w:val="10"/>
  </w:num>
  <w:num w:numId="17" w16cid:durableId="1528907978">
    <w:abstractNumId w:val="7"/>
  </w:num>
  <w:num w:numId="18" w16cid:durableId="700045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69E"/>
    <w:rsid w:val="00001415"/>
    <w:rsid w:val="0000153E"/>
    <w:rsid w:val="000022DD"/>
    <w:rsid w:val="00002484"/>
    <w:rsid w:val="00002CF5"/>
    <w:rsid w:val="00003847"/>
    <w:rsid w:val="00004497"/>
    <w:rsid w:val="000046FF"/>
    <w:rsid w:val="00004B73"/>
    <w:rsid w:val="00005E33"/>
    <w:rsid w:val="00006865"/>
    <w:rsid w:val="00006D32"/>
    <w:rsid w:val="0000742E"/>
    <w:rsid w:val="000104BA"/>
    <w:rsid w:val="000115A5"/>
    <w:rsid w:val="00011D0F"/>
    <w:rsid w:val="00012509"/>
    <w:rsid w:val="000135ED"/>
    <w:rsid w:val="00013E7E"/>
    <w:rsid w:val="00013F35"/>
    <w:rsid w:val="00014023"/>
    <w:rsid w:val="00016513"/>
    <w:rsid w:val="00016673"/>
    <w:rsid w:val="0002095B"/>
    <w:rsid w:val="00021BF6"/>
    <w:rsid w:val="00023452"/>
    <w:rsid w:val="000255D9"/>
    <w:rsid w:val="000256D4"/>
    <w:rsid w:val="00025AAB"/>
    <w:rsid w:val="00025ED3"/>
    <w:rsid w:val="00026A14"/>
    <w:rsid w:val="00026A92"/>
    <w:rsid w:val="00026C16"/>
    <w:rsid w:val="00030072"/>
    <w:rsid w:val="0003018F"/>
    <w:rsid w:val="00030399"/>
    <w:rsid w:val="00030E66"/>
    <w:rsid w:val="00031A9E"/>
    <w:rsid w:val="000335A5"/>
    <w:rsid w:val="00033B1C"/>
    <w:rsid w:val="00036B36"/>
    <w:rsid w:val="00037375"/>
    <w:rsid w:val="00040B1B"/>
    <w:rsid w:val="000412F4"/>
    <w:rsid w:val="00041954"/>
    <w:rsid w:val="00041AD4"/>
    <w:rsid w:val="00041CF1"/>
    <w:rsid w:val="00041FFE"/>
    <w:rsid w:val="0004206D"/>
    <w:rsid w:val="0004249D"/>
    <w:rsid w:val="000427AA"/>
    <w:rsid w:val="00043CAA"/>
    <w:rsid w:val="00044816"/>
    <w:rsid w:val="00046F8B"/>
    <w:rsid w:val="00047F1F"/>
    <w:rsid w:val="0005023C"/>
    <w:rsid w:val="0005242E"/>
    <w:rsid w:val="000529BE"/>
    <w:rsid w:val="000539A5"/>
    <w:rsid w:val="00054448"/>
    <w:rsid w:val="000557F7"/>
    <w:rsid w:val="00055D85"/>
    <w:rsid w:val="00057176"/>
    <w:rsid w:val="00057A6C"/>
    <w:rsid w:val="00057C58"/>
    <w:rsid w:val="00057E0B"/>
    <w:rsid w:val="00060422"/>
    <w:rsid w:val="00060889"/>
    <w:rsid w:val="00061260"/>
    <w:rsid w:val="00062C17"/>
    <w:rsid w:val="0006339D"/>
    <w:rsid w:val="00063FB1"/>
    <w:rsid w:val="00064887"/>
    <w:rsid w:val="00065224"/>
    <w:rsid w:val="000663DB"/>
    <w:rsid w:val="00070C1A"/>
    <w:rsid w:val="00071194"/>
    <w:rsid w:val="00072620"/>
    <w:rsid w:val="00073568"/>
    <w:rsid w:val="00073576"/>
    <w:rsid w:val="0007361A"/>
    <w:rsid w:val="00074287"/>
    <w:rsid w:val="00075158"/>
    <w:rsid w:val="00075362"/>
    <w:rsid w:val="00076F16"/>
    <w:rsid w:val="00077C7C"/>
    <w:rsid w:val="000803E7"/>
    <w:rsid w:val="000810AE"/>
    <w:rsid w:val="0008336D"/>
    <w:rsid w:val="000833F2"/>
    <w:rsid w:val="00083A6E"/>
    <w:rsid w:val="00084869"/>
    <w:rsid w:val="000855F6"/>
    <w:rsid w:val="000856BB"/>
    <w:rsid w:val="00085753"/>
    <w:rsid w:val="00085E9B"/>
    <w:rsid w:val="00086DFC"/>
    <w:rsid w:val="00087190"/>
    <w:rsid w:val="000874E5"/>
    <w:rsid w:val="00087F13"/>
    <w:rsid w:val="00090C80"/>
    <w:rsid w:val="00091ED4"/>
    <w:rsid w:val="000930A2"/>
    <w:rsid w:val="00093314"/>
    <w:rsid w:val="000936BF"/>
    <w:rsid w:val="00093D51"/>
    <w:rsid w:val="0009449A"/>
    <w:rsid w:val="00094D04"/>
    <w:rsid w:val="00095CF1"/>
    <w:rsid w:val="000A01CD"/>
    <w:rsid w:val="000A09B9"/>
    <w:rsid w:val="000A0CEC"/>
    <w:rsid w:val="000A28D3"/>
    <w:rsid w:val="000A4419"/>
    <w:rsid w:val="000A62C5"/>
    <w:rsid w:val="000A68D2"/>
    <w:rsid w:val="000B059E"/>
    <w:rsid w:val="000B1CE3"/>
    <w:rsid w:val="000B1F4D"/>
    <w:rsid w:val="000B2644"/>
    <w:rsid w:val="000B3008"/>
    <w:rsid w:val="000B3D43"/>
    <w:rsid w:val="000B3EE7"/>
    <w:rsid w:val="000B410F"/>
    <w:rsid w:val="000B4DEE"/>
    <w:rsid w:val="000B629F"/>
    <w:rsid w:val="000B6849"/>
    <w:rsid w:val="000B6EAE"/>
    <w:rsid w:val="000B6F38"/>
    <w:rsid w:val="000B7FA4"/>
    <w:rsid w:val="000B7FAF"/>
    <w:rsid w:val="000C0253"/>
    <w:rsid w:val="000C02D2"/>
    <w:rsid w:val="000C0835"/>
    <w:rsid w:val="000C0C4B"/>
    <w:rsid w:val="000C10E5"/>
    <w:rsid w:val="000C171F"/>
    <w:rsid w:val="000C1B35"/>
    <w:rsid w:val="000C461C"/>
    <w:rsid w:val="000C4D76"/>
    <w:rsid w:val="000C5553"/>
    <w:rsid w:val="000C5793"/>
    <w:rsid w:val="000C5E4B"/>
    <w:rsid w:val="000C6414"/>
    <w:rsid w:val="000C7AFE"/>
    <w:rsid w:val="000D0DEC"/>
    <w:rsid w:val="000D1EB5"/>
    <w:rsid w:val="000D27EC"/>
    <w:rsid w:val="000D302D"/>
    <w:rsid w:val="000D3B72"/>
    <w:rsid w:val="000D42E7"/>
    <w:rsid w:val="000D4A8B"/>
    <w:rsid w:val="000D4B4E"/>
    <w:rsid w:val="000D5C6A"/>
    <w:rsid w:val="000D72FC"/>
    <w:rsid w:val="000E0E70"/>
    <w:rsid w:val="000E2068"/>
    <w:rsid w:val="000E234F"/>
    <w:rsid w:val="000E3F22"/>
    <w:rsid w:val="000E4593"/>
    <w:rsid w:val="000E6575"/>
    <w:rsid w:val="000E78C7"/>
    <w:rsid w:val="000F0CED"/>
    <w:rsid w:val="000F1456"/>
    <w:rsid w:val="000F20CD"/>
    <w:rsid w:val="000F20DB"/>
    <w:rsid w:val="000F227F"/>
    <w:rsid w:val="000F29B0"/>
    <w:rsid w:val="000F40A2"/>
    <w:rsid w:val="000F416F"/>
    <w:rsid w:val="000F5DF2"/>
    <w:rsid w:val="000F60E5"/>
    <w:rsid w:val="000F785D"/>
    <w:rsid w:val="00100168"/>
    <w:rsid w:val="00100233"/>
    <w:rsid w:val="001017FD"/>
    <w:rsid w:val="001028E8"/>
    <w:rsid w:val="00102936"/>
    <w:rsid w:val="00102E7C"/>
    <w:rsid w:val="00103565"/>
    <w:rsid w:val="001050E5"/>
    <w:rsid w:val="001055C8"/>
    <w:rsid w:val="00105755"/>
    <w:rsid w:val="00105A05"/>
    <w:rsid w:val="001078BD"/>
    <w:rsid w:val="00107DA8"/>
    <w:rsid w:val="001118EB"/>
    <w:rsid w:val="00111CA6"/>
    <w:rsid w:val="00112DEC"/>
    <w:rsid w:val="001135CE"/>
    <w:rsid w:val="001137FF"/>
    <w:rsid w:val="00113875"/>
    <w:rsid w:val="00113DF0"/>
    <w:rsid w:val="00114DE9"/>
    <w:rsid w:val="0011546D"/>
    <w:rsid w:val="0011620D"/>
    <w:rsid w:val="00116260"/>
    <w:rsid w:val="00116BF5"/>
    <w:rsid w:val="00116D69"/>
    <w:rsid w:val="00117878"/>
    <w:rsid w:val="00117D80"/>
    <w:rsid w:val="00120017"/>
    <w:rsid w:val="00120202"/>
    <w:rsid w:val="00121BEC"/>
    <w:rsid w:val="00121FE3"/>
    <w:rsid w:val="0012250E"/>
    <w:rsid w:val="00122804"/>
    <w:rsid w:val="00122EF4"/>
    <w:rsid w:val="0012472D"/>
    <w:rsid w:val="001253A5"/>
    <w:rsid w:val="0012560F"/>
    <w:rsid w:val="0012643B"/>
    <w:rsid w:val="001275EC"/>
    <w:rsid w:val="001276FB"/>
    <w:rsid w:val="00127770"/>
    <w:rsid w:val="00127D5C"/>
    <w:rsid w:val="00130221"/>
    <w:rsid w:val="00130698"/>
    <w:rsid w:val="00130F0B"/>
    <w:rsid w:val="001310A4"/>
    <w:rsid w:val="001329E6"/>
    <w:rsid w:val="00132EC1"/>
    <w:rsid w:val="001334EE"/>
    <w:rsid w:val="00133961"/>
    <w:rsid w:val="00134370"/>
    <w:rsid w:val="00134EB6"/>
    <w:rsid w:val="001359C9"/>
    <w:rsid w:val="00135AE3"/>
    <w:rsid w:val="001360E7"/>
    <w:rsid w:val="001363E0"/>
    <w:rsid w:val="00140828"/>
    <w:rsid w:val="0014190E"/>
    <w:rsid w:val="00141FA2"/>
    <w:rsid w:val="001426A8"/>
    <w:rsid w:val="00142838"/>
    <w:rsid w:val="00143296"/>
    <w:rsid w:val="001438C5"/>
    <w:rsid w:val="00143AB1"/>
    <w:rsid w:val="001441FF"/>
    <w:rsid w:val="00144906"/>
    <w:rsid w:val="0014526A"/>
    <w:rsid w:val="0014647D"/>
    <w:rsid w:val="0014BFEC"/>
    <w:rsid w:val="00150A1B"/>
    <w:rsid w:val="001526AA"/>
    <w:rsid w:val="00152893"/>
    <w:rsid w:val="00153912"/>
    <w:rsid w:val="00153CE4"/>
    <w:rsid w:val="00153D88"/>
    <w:rsid w:val="001540F9"/>
    <w:rsid w:val="00154885"/>
    <w:rsid w:val="0015497A"/>
    <w:rsid w:val="00154A9B"/>
    <w:rsid w:val="001551E2"/>
    <w:rsid w:val="00155231"/>
    <w:rsid w:val="001553EC"/>
    <w:rsid w:val="0015740E"/>
    <w:rsid w:val="00157B44"/>
    <w:rsid w:val="00157C3C"/>
    <w:rsid w:val="00157FF1"/>
    <w:rsid w:val="001602F6"/>
    <w:rsid w:val="00160437"/>
    <w:rsid w:val="00160AFF"/>
    <w:rsid w:val="00160F21"/>
    <w:rsid w:val="0016367F"/>
    <w:rsid w:val="00163DAB"/>
    <w:rsid w:val="001651DD"/>
    <w:rsid w:val="00165698"/>
    <w:rsid w:val="00166134"/>
    <w:rsid w:val="001705A1"/>
    <w:rsid w:val="00170D94"/>
    <w:rsid w:val="001719F3"/>
    <w:rsid w:val="001726D4"/>
    <w:rsid w:val="00173724"/>
    <w:rsid w:val="001739C7"/>
    <w:rsid w:val="00174608"/>
    <w:rsid w:val="001768A5"/>
    <w:rsid w:val="00176992"/>
    <w:rsid w:val="00176B77"/>
    <w:rsid w:val="00176F15"/>
    <w:rsid w:val="00176FCD"/>
    <w:rsid w:val="00176FE0"/>
    <w:rsid w:val="001778B4"/>
    <w:rsid w:val="00177993"/>
    <w:rsid w:val="00180126"/>
    <w:rsid w:val="001812CE"/>
    <w:rsid w:val="00183235"/>
    <w:rsid w:val="00185433"/>
    <w:rsid w:val="00185ADA"/>
    <w:rsid w:val="00185F04"/>
    <w:rsid w:val="00186288"/>
    <w:rsid w:val="001864E3"/>
    <w:rsid w:val="00186C86"/>
    <w:rsid w:val="001870DE"/>
    <w:rsid w:val="00187B44"/>
    <w:rsid w:val="00190441"/>
    <w:rsid w:val="0019166E"/>
    <w:rsid w:val="001925D8"/>
    <w:rsid w:val="001928C8"/>
    <w:rsid w:val="00193104"/>
    <w:rsid w:val="001932D7"/>
    <w:rsid w:val="001932EC"/>
    <w:rsid w:val="001933B2"/>
    <w:rsid w:val="001934FB"/>
    <w:rsid w:val="00194123"/>
    <w:rsid w:val="001952A5"/>
    <w:rsid w:val="001955CA"/>
    <w:rsid w:val="00195EB8"/>
    <w:rsid w:val="00196878"/>
    <w:rsid w:val="00196C0F"/>
    <w:rsid w:val="0019700A"/>
    <w:rsid w:val="00197559"/>
    <w:rsid w:val="001A28C1"/>
    <w:rsid w:val="001A306A"/>
    <w:rsid w:val="001A4347"/>
    <w:rsid w:val="001A56B7"/>
    <w:rsid w:val="001A5A42"/>
    <w:rsid w:val="001A5D87"/>
    <w:rsid w:val="001A62CD"/>
    <w:rsid w:val="001A655E"/>
    <w:rsid w:val="001A65D4"/>
    <w:rsid w:val="001A7A0C"/>
    <w:rsid w:val="001B017D"/>
    <w:rsid w:val="001B0B99"/>
    <w:rsid w:val="001B0D62"/>
    <w:rsid w:val="001B1789"/>
    <w:rsid w:val="001B17C3"/>
    <w:rsid w:val="001B1C44"/>
    <w:rsid w:val="001B2FCE"/>
    <w:rsid w:val="001B30CB"/>
    <w:rsid w:val="001B3317"/>
    <w:rsid w:val="001B35C7"/>
    <w:rsid w:val="001B51ED"/>
    <w:rsid w:val="001B6A71"/>
    <w:rsid w:val="001C026F"/>
    <w:rsid w:val="001C2157"/>
    <w:rsid w:val="001C2A08"/>
    <w:rsid w:val="001C36B2"/>
    <w:rsid w:val="001C4BDC"/>
    <w:rsid w:val="001C4BE9"/>
    <w:rsid w:val="001C4C8C"/>
    <w:rsid w:val="001C7C5B"/>
    <w:rsid w:val="001D03D6"/>
    <w:rsid w:val="001D055C"/>
    <w:rsid w:val="001D14AC"/>
    <w:rsid w:val="001D1526"/>
    <w:rsid w:val="001D1E0E"/>
    <w:rsid w:val="001D341B"/>
    <w:rsid w:val="001D4363"/>
    <w:rsid w:val="001D4A68"/>
    <w:rsid w:val="001D4EA5"/>
    <w:rsid w:val="001D5874"/>
    <w:rsid w:val="001D58B5"/>
    <w:rsid w:val="001D631A"/>
    <w:rsid w:val="001D791F"/>
    <w:rsid w:val="001D7B2C"/>
    <w:rsid w:val="001D7E32"/>
    <w:rsid w:val="001E0B5A"/>
    <w:rsid w:val="001E170F"/>
    <w:rsid w:val="001E183E"/>
    <w:rsid w:val="001E1AFD"/>
    <w:rsid w:val="001E2BA0"/>
    <w:rsid w:val="001E2BDD"/>
    <w:rsid w:val="001E32EA"/>
    <w:rsid w:val="001E3681"/>
    <w:rsid w:val="001E3899"/>
    <w:rsid w:val="001E3BC5"/>
    <w:rsid w:val="001E3F39"/>
    <w:rsid w:val="001E6D86"/>
    <w:rsid w:val="001E704D"/>
    <w:rsid w:val="001F02AE"/>
    <w:rsid w:val="001F10B9"/>
    <w:rsid w:val="001F1E82"/>
    <w:rsid w:val="001F1F4C"/>
    <w:rsid w:val="001F210D"/>
    <w:rsid w:val="001F3912"/>
    <w:rsid w:val="001F3BA9"/>
    <w:rsid w:val="001F4A41"/>
    <w:rsid w:val="001F569D"/>
    <w:rsid w:val="001F5DFC"/>
    <w:rsid w:val="001F729A"/>
    <w:rsid w:val="001F7864"/>
    <w:rsid w:val="001F7925"/>
    <w:rsid w:val="001F7C5A"/>
    <w:rsid w:val="001F7E7A"/>
    <w:rsid w:val="002007BF"/>
    <w:rsid w:val="00201732"/>
    <w:rsid w:val="002035ED"/>
    <w:rsid w:val="00203999"/>
    <w:rsid w:val="00205F8B"/>
    <w:rsid w:val="00206489"/>
    <w:rsid w:val="00210F41"/>
    <w:rsid w:val="00211B75"/>
    <w:rsid w:val="00211E30"/>
    <w:rsid w:val="00212D25"/>
    <w:rsid w:val="00213108"/>
    <w:rsid w:val="0021414D"/>
    <w:rsid w:val="00214D5F"/>
    <w:rsid w:val="002152E6"/>
    <w:rsid w:val="002157AC"/>
    <w:rsid w:val="00216334"/>
    <w:rsid w:val="00216D15"/>
    <w:rsid w:val="00216E99"/>
    <w:rsid w:val="00217138"/>
    <w:rsid w:val="002173AA"/>
    <w:rsid w:val="00217D2B"/>
    <w:rsid w:val="002206BB"/>
    <w:rsid w:val="00221C4B"/>
    <w:rsid w:val="002224CC"/>
    <w:rsid w:val="00222A93"/>
    <w:rsid w:val="00222BD9"/>
    <w:rsid w:val="0022467D"/>
    <w:rsid w:val="00224CFC"/>
    <w:rsid w:val="00225153"/>
    <w:rsid w:val="00225331"/>
    <w:rsid w:val="002259BB"/>
    <w:rsid w:val="00226FBC"/>
    <w:rsid w:val="002301D5"/>
    <w:rsid w:val="002309F3"/>
    <w:rsid w:val="00230D48"/>
    <w:rsid w:val="002318B7"/>
    <w:rsid w:val="0023239D"/>
    <w:rsid w:val="002323C9"/>
    <w:rsid w:val="002346C7"/>
    <w:rsid w:val="00234B60"/>
    <w:rsid w:val="002350C9"/>
    <w:rsid w:val="002355BB"/>
    <w:rsid w:val="002358F3"/>
    <w:rsid w:val="0023693B"/>
    <w:rsid w:val="002374E0"/>
    <w:rsid w:val="002376A0"/>
    <w:rsid w:val="00240E41"/>
    <w:rsid w:val="0024156B"/>
    <w:rsid w:val="00241F41"/>
    <w:rsid w:val="002421C5"/>
    <w:rsid w:val="002423B2"/>
    <w:rsid w:val="002439F9"/>
    <w:rsid w:val="002454C5"/>
    <w:rsid w:val="00246D95"/>
    <w:rsid w:val="00251C42"/>
    <w:rsid w:val="00251CD5"/>
    <w:rsid w:val="002524E7"/>
    <w:rsid w:val="00252B62"/>
    <w:rsid w:val="00254586"/>
    <w:rsid w:val="002549BE"/>
    <w:rsid w:val="00255A02"/>
    <w:rsid w:val="00255F31"/>
    <w:rsid w:val="00256A2A"/>
    <w:rsid w:val="00257E72"/>
    <w:rsid w:val="00260196"/>
    <w:rsid w:val="00260B3C"/>
    <w:rsid w:val="00260D84"/>
    <w:rsid w:val="00263D34"/>
    <w:rsid w:val="002641E7"/>
    <w:rsid w:val="00264979"/>
    <w:rsid w:val="002650FA"/>
    <w:rsid w:val="0026543A"/>
    <w:rsid w:val="00266104"/>
    <w:rsid w:val="00266632"/>
    <w:rsid w:val="002703C1"/>
    <w:rsid w:val="0027114D"/>
    <w:rsid w:val="00271A17"/>
    <w:rsid w:val="00271E73"/>
    <w:rsid w:val="002723E4"/>
    <w:rsid w:val="00273774"/>
    <w:rsid w:val="00273927"/>
    <w:rsid w:val="00273FB5"/>
    <w:rsid w:val="002745F8"/>
    <w:rsid w:val="00274892"/>
    <w:rsid w:val="002760C0"/>
    <w:rsid w:val="00276485"/>
    <w:rsid w:val="00277802"/>
    <w:rsid w:val="002778B4"/>
    <w:rsid w:val="00277CA5"/>
    <w:rsid w:val="0028049F"/>
    <w:rsid w:val="002824EC"/>
    <w:rsid w:val="002830A5"/>
    <w:rsid w:val="002831A6"/>
    <w:rsid w:val="00284498"/>
    <w:rsid w:val="002848A7"/>
    <w:rsid w:val="00284C22"/>
    <w:rsid w:val="002852C6"/>
    <w:rsid w:val="002857F1"/>
    <w:rsid w:val="00286D35"/>
    <w:rsid w:val="0028721C"/>
    <w:rsid w:val="00287461"/>
    <w:rsid w:val="002900C9"/>
    <w:rsid w:val="00290BED"/>
    <w:rsid w:val="002927FF"/>
    <w:rsid w:val="002928F4"/>
    <w:rsid w:val="002945B4"/>
    <w:rsid w:val="00294995"/>
    <w:rsid w:val="00296B6E"/>
    <w:rsid w:val="002A1B15"/>
    <w:rsid w:val="002A22CC"/>
    <w:rsid w:val="002A2607"/>
    <w:rsid w:val="002A34A1"/>
    <w:rsid w:val="002A34FE"/>
    <w:rsid w:val="002A3B9B"/>
    <w:rsid w:val="002A41C5"/>
    <w:rsid w:val="002A491F"/>
    <w:rsid w:val="002A669E"/>
    <w:rsid w:val="002B05A4"/>
    <w:rsid w:val="002B0C6C"/>
    <w:rsid w:val="002B1138"/>
    <w:rsid w:val="002B2797"/>
    <w:rsid w:val="002B2A4B"/>
    <w:rsid w:val="002B36CB"/>
    <w:rsid w:val="002B3FB2"/>
    <w:rsid w:val="002B41BA"/>
    <w:rsid w:val="002B43D4"/>
    <w:rsid w:val="002B4B13"/>
    <w:rsid w:val="002B5867"/>
    <w:rsid w:val="002B5BFD"/>
    <w:rsid w:val="002B743A"/>
    <w:rsid w:val="002C000C"/>
    <w:rsid w:val="002C000F"/>
    <w:rsid w:val="002C078F"/>
    <w:rsid w:val="002C169C"/>
    <w:rsid w:val="002C237F"/>
    <w:rsid w:val="002C260C"/>
    <w:rsid w:val="002C3849"/>
    <w:rsid w:val="002C3BD5"/>
    <w:rsid w:val="002C40D8"/>
    <w:rsid w:val="002C41AC"/>
    <w:rsid w:val="002C58CA"/>
    <w:rsid w:val="002C5F91"/>
    <w:rsid w:val="002D2F9A"/>
    <w:rsid w:val="002D6916"/>
    <w:rsid w:val="002D74CF"/>
    <w:rsid w:val="002E05F8"/>
    <w:rsid w:val="002E0709"/>
    <w:rsid w:val="002E0BD7"/>
    <w:rsid w:val="002E0E80"/>
    <w:rsid w:val="002E1716"/>
    <w:rsid w:val="002E3385"/>
    <w:rsid w:val="002E36F8"/>
    <w:rsid w:val="002E418C"/>
    <w:rsid w:val="002E4FB7"/>
    <w:rsid w:val="002E564B"/>
    <w:rsid w:val="002E707B"/>
    <w:rsid w:val="002E734C"/>
    <w:rsid w:val="002E7366"/>
    <w:rsid w:val="002E772F"/>
    <w:rsid w:val="002EC4FB"/>
    <w:rsid w:val="002F12B6"/>
    <w:rsid w:val="002F1AF5"/>
    <w:rsid w:val="002F2019"/>
    <w:rsid w:val="002F27F3"/>
    <w:rsid w:val="002F29C6"/>
    <w:rsid w:val="002F3447"/>
    <w:rsid w:val="002F410F"/>
    <w:rsid w:val="002F4196"/>
    <w:rsid w:val="002F531D"/>
    <w:rsid w:val="002F550D"/>
    <w:rsid w:val="002F57FD"/>
    <w:rsid w:val="002F5DD8"/>
    <w:rsid w:val="002F7A0D"/>
    <w:rsid w:val="003000F1"/>
    <w:rsid w:val="003001EF"/>
    <w:rsid w:val="00300959"/>
    <w:rsid w:val="003016DE"/>
    <w:rsid w:val="0030200E"/>
    <w:rsid w:val="003028F6"/>
    <w:rsid w:val="003029C5"/>
    <w:rsid w:val="00302B8B"/>
    <w:rsid w:val="00303203"/>
    <w:rsid w:val="00303D13"/>
    <w:rsid w:val="00303D50"/>
    <w:rsid w:val="003043B2"/>
    <w:rsid w:val="003049AE"/>
    <w:rsid w:val="003051BA"/>
    <w:rsid w:val="0030529C"/>
    <w:rsid w:val="00305583"/>
    <w:rsid w:val="00306C5E"/>
    <w:rsid w:val="0030712C"/>
    <w:rsid w:val="0031013D"/>
    <w:rsid w:val="003103A8"/>
    <w:rsid w:val="00310DBF"/>
    <w:rsid w:val="00311524"/>
    <w:rsid w:val="00311668"/>
    <w:rsid w:val="00312E6F"/>
    <w:rsid w:val="0031377F"/>
    <w:rsid w:val="0031388C"/>
    <w:rsid w:val="00313B52"/>
    <w:rsid w:val="00313C1D"/>
    <w:rsid w:val="003141BE"/>
    <w:rsid w:val="00314E06"/>
    <w:rsid w:val="00315770"/>
    <w:rsid w:val="003163FC"/>
    <w:rsid w:val="003165AE"/>
    <w:rsid w:val="00316724"/>
    <w:rsid w:val="00317F32"/>
    <w:rsid w:val="00320367"/>
    <w:rsid w:val="00320724"/>
    <w:rsid w:val="003218CE"/>
    <w:rsid w:val="00322153"/>
    <w:rsid w:val="003223CC"/>
    <w:rsid w:val="00322EFB"/>
    <w:rsid w:val="00323860"/>
    <w:rsid w:val="00323AD7"/>
    <w:rsid w:val="00323AFA"/>
    <w:rsid w:val="00325255"/>
    <w:rsid w:val="003254E2"/>
    <w:rsid w:val="00325ED7"/>
    <w:rsid w:val="0032715E"/>
    <w:rsid w:val="00330493"/>
    <w:rsid w:val="0033145E"/>
    <w:rsid w:val="00331E74"/>
    <w:rsid w:val="0033268E"/>
    <w:rsid w:val="00333BAE"/>
    <w:rsid w:val="00333D3D"/>
    <w:rsid w:val="00334E28"/>
    <w:rsid w:val="00335240"/>
    <w:rsid w:val="00337553"/>
    <w:rsid w:val="003376DA"/>
    <w:rsid w:val="003407EC"/>
    <w:rsid w:val="00340B8C"/>
    <w:rsid w:val="00340FA9"/>
    <w:rsid w:val="00340FD9"/>
    <w:rsid w:val="00340FE4"/>
    <w:rsid w:val="003415C8"/>
    <w:rsid w:val="00343B2A"/>
    <w:rsid w:val="0034436E"/>
    <w:rsid w:val="00344C66"/>
    <w:rsid w:val="00344EE0"/>
    <w:rsid w:val="00346560"/>
    <w:rsid w:val="003474F5"/>
    <w:rsid w:val="00348BDF"/>
    <w:rsid w:val="00350642"/>
    <w:rsid w:val="00351BE7"/>
    <w:rsid w:val="00352D71"/>
    <w:rsid w:val="003542C4"/>
    <w:rsid w:val="00354B95"/>
    <w:rsid w:val="003564B1"/>
    <w:rsid w:val="003567D7"/>
    <w:rsid w:val="00356A85"/>
    <w:rsid w:val="003576B0"/>
    <w:rsid w:val="00360411"/>
    <w:rsid w:val="003605DC"/>
    <w:rsid w:val="00361E85"/>
    <w:rsid w:val="00361EAD"/>
    <w:rsid w:val="00362A8F"/>
    <w:rsid w:val="00362D0E"/>
    <w:rsid w:val="00363181"/>
    <w:rsid w:val="00364930"/>
    <w:rsid w:val="0036690C"/>
    <w:rsid w:val="00366B17"/>
    <w:rsid w:val="003675F3"/>
    <w:rsid w:val="00367B05"/>
    <w:rsid w:val="003703B4"/>
    <w:rsid w:val="00370B8E"/>
    <w:rsid w:val="00371BFF"/>
    <w:rsid w:val="003721FC"/>
    <w:rsid w:val="003726EC"/>
    <w:rsid w:val="0037292C"/>
    <w:rsid w:val="00372CDD"/>
    <w:rsid w:val="003730EC"/>
    <w:rsid w:val="00374F51"/>
    <w:rsid w:val="00375A93"/>
    <w:rsid w:val="0037617B"/>
    <w:rsid w:val="003770AA"/>
    <w:rsid w:val="003778C1"/>
    <w:rsid w:val="00380AE3"/>
    <w:rsid w:val="00381075"/>
    <w:rsid w:val="003814C8"/>
    <w:rsid w:val="00382127"/>
    <w:rsid w:val="00382481"/>
    <w:rsid w:val="00382567"/>
    <w:rsid w:val="003827BE"/>
    <w:rsid w:val="00382C3E"/>
    <w:rsid w:val="003834A8"/>
    <w:rsid w:val="003837CC"/>
    <w:rsid w:val="003846A6"/>
    <w:rsid w:val="00385A5E"/>
    <w:rsid w:val="00386544"/>
    <w:rsid w:val="003869C2"/>
    <w:rsid w:val="003905C8"/>
    <w:rsid w:val="00392033"/>
    <w:rsid w:val="00392BCA"/>
    <w:rsid w:val="003934A1"/>
    <w:rsid w:val="00393788"/>
    <w:rsid w:val="00394692"/>
    <w:rsid w:val="00394A89"/>
    <w:rsid w:val="00395BC1"/>
    <w:rsid w:val="003967AC"/>
    <w:rsid w:val="00397B20"/>
    <w:rsid w:val="003A09C5"/>
    <w:rsid w:val="003A0F46"/>
    <w:rsid w:val="003A103D"/>
    <w:rsid w:val="003A104A"/>
    <w:rsid w:val="003A1E7D"/>
    <w:rsid w:val="003A1F03"/>
    <w:rsid w:val="003A36E9"/>
    <w:rsid w:val="003A3889"/>
    <w:rsid w:val="003A3E63"/>
    <w:rsid w:val="003A4393"/>
    <w:rsid w:val="003A46CF"/>
    <w:rsid w:val="003A4CCC"/>
    <w:rsid w:val="003A5220"/>
    <w:rsid w:val="003A6EF2"/>
    <w:rsid w:val="003A73A9"/>
    <w:rsid w:val="003B076D"/>
    <w:rsid w:val="003B1DF5"/>
    <w:rsid w:val="003B235B"/>
    <w:rsid w:val="003B387A"/>
    <w:rsid w:val="003B3AA0"/>
    <w:rsid w:val="003B4438"/>
    <w:rsid w:val="003B5F51"/>
    <w:rsid w:val="003B60DE"/>
    <w:rsid w:val="003B62B3"/>
    <w:rsid w:val="003B687E"/>
    <w:rsid w:val="003B7626"/>
    <w:rsid w:val="003B7C0B"/>
    <w:rsid w:val="003C13A8"/>
    <w:rsid w:val="003C1939"/>
    <w:rsid w:val="003C1FD0"/>
    <w:rsid w:val="003C2F35"/>
    <w:rsid w:val="003C2F4D"/>
    <w:rsid w:val="003C3087"/>
    <w:rsid w:val="003C4171"/>
    <w:rsid w:val="003C5A83"/>
    <w:rsid w:val="003C62D8"/>
    <w:rsid w:val="003C667D"/>
    <w:rsid w:val="003C70F9"/>
    <w:rsid w:val="003C746C"/>
    <w:rsid w:val="003C7D02"/>
    <w:rsid w:val="003D0607"/>
    <w:rsid w:val="003D127D"/>
    <w:rsid w:val="003D26A9"/>
    <w:rsid w:val="003D2958"/>
    <w:rsid w:val="003D33F4"/>
    <w:rsid w:val="003D3919"/>
    <w:rsid w:val="003D3ED8"/>
    <w:rsid w:val="003D4501"/>
    <w:rsid w:val="003D4CC7"/>
    <w:rsid w:val="003D4FC8"/>
    <w:rsid w:val="003D6D7C"/>
    <w:rsid w:val="003D70C5"/>
    <w:rsid w:val="003D7154"/>
    <w:rsid w:val="003D7D40"/>
    <w:rsid w:val="003E0AAC"/>
    <w:rsid w:val="003E1FF8"/>
    <w:rsid w:val="003E6986"/>
    <w:rsid w:val="003E6F4A"/>
    <w:rsid w:val="003E7AED"/>
    <w:rsid w:val="003E7DE1"/>
    <w:rsid w:val="003E7E3D"/>
    <w:rsid w:val="003F0069"/>
    <w:rsid w:val="003F2A45"/>
    <w:rsid w:val="003F31AC"/>
    <w:rsid w:val="003F3955"/>
    <w:rsid w:val="003F45C7"/>
    <w:rsid w:val="003F48DD"/>
    <w:rsid w:val="003F4AD5"/>
    <w:rsid w:val="003F51A3"/>
    <w:rsid w:val="003F51C7"/>
    <w:rsid w:val="003F7D6C"/>
    <w:rsid w:val="004000BB"/>
    <w:rsid w:val="00401809"/>
    <w:rsid w:val="00401939"/>
    <w:rsid w:val="00401A55"/>
    <w:rsid w:val="00403B2C"/>
    <w:rsid w:val="00403B35"/>
    <w:rsid w:val="00403F55"/>
    <w:rsid w:val="004041CE"/>
    <w:rsid w:val="004055F5"/>
    <w:rsid w:val="004058EF"/>
    <w:rsid w:val="0040771F"/>
    <w:rsid w:val="00410CCB"/>
    <w:rsid w:val="004111AD"/>
    <w:rsid w:val="00411B96"/>
    <w:rsid w:val="004125DF"/>
    <w:rsid w:val="00414252"/>
    <w:rsid w:val="004155A1"/>
    <w:rsid w:val="00415782"/>
    <w:rsid w:val="0041610E"/>
    <w:rsid w:val="004164E4"/>
    <w:rsid w:val="004170D3"/>
    <w:rsid w:val="00420AF8"/>
    <w:rsid w:val="00420C34"/>
    <w:rsid w:val="00420EE8"/>
    <w:rsid w:val="004226C9"/>
    <w:rsid w:val="004228DE"/>
    <w:rsid w:val="00422E59"/>
    <w:rsid w:val="004232C2"/>
    <w:rsid w:val="00423974"/>
    <w:rsid w:val="004239D9"/>
    <w:rsid w:val="00423D4A"/>
    <w:rsid w:val="00424004"/>
    <w:rsid w:val="00424C00"/>
    <w:rsid w:val="00425E96"/>
    <w:rsid w:val="00425FCC"/>
    <w:rsid w:val="004267E6"/>
    <w:rsid w:val="0042750C"/>
    <w:rsid w:val="00430E66"/>
    <w:rsid w:val="00431EA1"/>
    <w:rsid w:val="00433231"/>
    <w:rsid w:val="00434BF5"/>
    <w:rsid w:val="00434CCF"/>
    <w:rsid w:val="00435209"/>
    <w:rsid w:val="00436711"/>
    <w:rsid w:val="00437104"/>
    <w:rsid w:val="00441968"/>
    <w:rsid w:val="00441B9C"/>
    <w:rsid w:val="00441BDC"/>
    <w:rsid w:val="00441D09"/>
    <w:rsid w:val="00443EB3"/>
    <w:rsid w:val="004442DC"/>
    <w:rsid w:val="0044558F"/>
    <w:rsid w:val="004457AB"/>
    <w:rsid w:val="00445A1E"/>
    <w:rsid w:val="0044605F"/>
    <w:rsid w:val="00446D8D"/>
    <w:rsid w:val="0045088D"/>
    <w:rsid w:val="00450B14"/>
    <w:rsid w:val="00450C10"/>
    <w:rsid w:val="00451878"/>
    <w:rsid w:val="00451C4F"/>
    <w:rsid w:val="0045208B"/>
    <w:rsid w:val="00452AE1"/>
    <w:rsid w:val="00452D46"/>
    <w:rsid w:val="0045337E"/>
    <w:rsid w:val="0045434F"/>
    <w:rsid w:val="00455127"/>
    <w:rsid w:val="00455C29"/>
    <w:rsid w:val="00456333"/>
    <w:rsid w:val="0045682F"/>
    <w:rsid w:val="00456948"/>
    <w:rsid w:val="00460278"/>
    <w:rsid w:val="00460746"/>
    <w:rsid w:val="00462403"/>
    <w:rsid w:val="00462E3B"/>
    <w:rsid w:val="004630DA"/>
    <w:rsid w:val="00464746"/>
    <w:rsid w:val="004654FA"/>
    <w:rsid w:val="004663E2"/>
    <w:rsid w:val="00466A7C"/>
    <w:rsid w:val="00466DF0"/>
    <w:rsid w:val="00467063"/>
    <w:rsid w:val="00467293"/>
    <w:rsid w:val="00467656"/>
    <w:rsid w:val="00470E9D"/>
    <w:rsid w:val="0047104A"/>
    <w:rsid w:val="00471B7E"/>
    <w:rsid w:val="00471DE0"/>
    <w:rsid w:val="00472521"/>
    <w:rsid w:val="00473B8F"/>
    <w:rsid w:val="0047438A"/>
    <w:rsid w:val="004745AC"/>
    <w:rsid w:val="004811F4"/>
    <w:rsid w:val="004813F2"/>
    <w:rsid w:val="00482753"/>
    <w:rsid w:val="00483357"/>
    <w:rsid w:val="00483626"/>
    <w:rsid w:val="004839AB"/>
    <w:rsid w:val="00483EF1"/>
    <w:rsid w:val="004840BF"/>
    <w:rsid w:val="00485230"/>
    <w:rsid w:val="004861BF"/>
    <w:rsid w:val="00486611"/>
    <w:rsid w:val="00486AF0"/>
    <w:rsid w:val="00490590"/>
    <w:rsid w:val="00490927"/>
    <w:rsid w:val="00491D0D"/>
    <w:rsid w:val="004921E7"/>
    <w:rsid w:val="00492765"/>
    <w:rsid w:val="004929B6"/>
    <w:rsid w:val="00492D5D"/>
    <w:rsid w:val="0049302D"/>
    <w:rsid w:val="00493DBB"/>
    <w:rsid w:val="00494104"/>
    <w:rsid w:val="004942E6"/>
    <w:rsid w:val="004963B8"/>
    <w:rsid w:val="00496889"/>
    <w:rsid w:val="0049733E"/>
    <w:rsid w:val="00497808"/>
    <w:rsid w:val="004A32F3"/>
    <w:rsid w:val="004A34E1"/>
    <w:rsid w:val="004A37D8"/>
    <w:rsid w:val="004A447C"/>
    <w:rsid w:val="004A5016"/>
    <w:rsid w:val="004A55C4"/>
    <w:rsid w:val="004A68C1"/>
    <w:rsid w:val="004A6A71"/>
    <w:rsid w:val="004A6C23"/>
    <w:rsid w:val="004A7204"/>
    <w:rsid w:val="004A7954"/>
    <w:rsid w:val="004B071F"/>
    <w:rsid w:val="004B087D"/>
    <w:rsid w:val="004B113C"/>
    <w:rsid w:val="004B131E"/>
    <w:rsid w:val="004B1591"/>
    <w:rsid w:val="004B1EF0"/>
    <w:rsid w:val="004B227E"/>
    <w:rsid w:val="004B2C1C"/>
    <w:rsid w:val="004B4EBB"/>
    <w:rsid w:val="004B5B54"/>
    <w:rsid w:val="004B5D1E"/>
    <w:rsid w:val="004B5EE1"/>
    <w:rsid w:val="004B6107"/>
    <w:rsid w:val="004B6272"/>
    <w:rsid w:val="004B779D"/>
    <w:rsid w:val="004C0B0F"/>
    <w:rsid w:val="004C13B9"/>
    <w:rsid w:val="004C157B"/>
    <w:rsid w:val="004C1C39"/>
    <w:rsid w:val="004C223B"/>
    <w:rsid w:val="004C26F6"/>
    <w:rsid w:val="004C3188"/>
    <w:rsid w:val="004C3914"/>
    <w:rsid w:val="004C47B5"/>
    <w:rsid w:val="004C5A1F"/>
    <w:rsid w:val="004C66CD"/>
    <w:rsid w:val="004C692A"/>
    <w:rsid w:val="004C6EFA"/>
    <w:rsid w:val="004C768B"/>
    <w:rsid w:val="004C7A93"/>
    <w:rsid w:val="004D056C"/>
    <w:rsid w:val="004D0CDC"/>
    <w:rsid w:val="004D1DF5"/>
    <w:rsid w:val="004D1FBE"/>
    <w:rsid w:val="004D330C"/>
    <w:rsid w:val="004D33B0"/>
    <w:rsid w:val="004D3935"/>
    <w:rsid w:val="004D4013"/>
    <w:rsid w:val="004D444B"/>
    <w:rsid w:val="004D4A3A"/>
    <w:rsid w:val="004D4AE3"/>
    <w:rsid w:val="004D6782"/>
    <w:rsid w:val="004E0109"/>
    <w:rsid w:val="004E1993"/>
    <w:rsid w:val="004E252E"/>
    <w:rsid w:val="004E2F9F"/>
    <w:rsid w:val="004E3914"/>
    <w:rsid w:val="004E3C43"/>
    <w:rsid w:val="004E56F2"/>
    <w:rsid w:val="004E676F"/>
    <w:rsid w:val="004E78CC"/>
    <w:rsid w:val="004F186F"/>
    <w:rsid w:val="004F1B20"/>
    <w:rsid w:val="004F2BD6"/>
    <w:rsid w:val="004F33F8"/>
    <w:rsid w:val="004F45C7"/>
    <w:rsid w:val="004F4642"/>
    <w:rsid w:val="004F472F"/>
    <w:rsid w:val="004F4928"/>
    <w:rsid w:val="004F7D3A"/>
    <w:rsid w:val="004F7DF2"/>
    <w:rsid w:val="004F7F0A"/>
    <w:rsid w:val="00501506"/>
    <w:rsid w:val="00501B15"/>
    <w:rsid w:val="00501E5D"/>
    <w:rsid w:val="00501EFB"/>
    <w:rsid w:val="0050224F"/>
    <w:rsid w:val="00502288"/>
    <w:rsid w:val="005024F8"/>
    <w:rsid w:val="00502B49"/>
    <w:rsid w:val="005033B5"/>
    <w:rsid w:val="005034B1"/>
    <w:rsid w:val="0050411A"/>
    <w:rsid w:val="0050462F"/>
    <w:rsid w:val="00506294"/>
    <w:rsid w:val="00506458"/>
    <w:rsid w:val="00506D9C"/>
    <w:rsid w:val="00506E87"/>
    <w:rsid w:val="0050772C"/>
    <w:rsid w:val="00507E25"/>
    <w:rsid w:val="0051069B"/>
    <w:rsid w:val="00510CFE"/>
    <w:rsid w:val="00510E13"/>
    <w:rsid w:val="005111D6"/>
    <w:rsid w:val="00511AD9"/>
    <w:rsid w:val="005123B1"/>
    <w:rsid w:val="00513FE2"/>
    <w:rsid w:val="00515799"/>
    <w:rsid w:val="00515E4D"/>
    <w:rsid w:val="00517F47"/>
    <w:rsid w:val="00522901"/>
    <w:rsid w:val="00522DDB"/>
    <w:rsid w:val="00522DDE"/>
    <w:rsid w:val="00522F69"/>
    <w:rsid w:val="005230FD"/>
    <w:rsid w:val="00523762"/>
    <w:rsid w:val="005246CE"/>
    <w:rsid w:val="00524EB9"/>
    <w:rsid w:val="005256C6"/>
    <w:rsid w:val="00525889"/>
    <w:rsid w:val="00525C34"/>
    <w:rsid w:val="00530CC1"/>
    <w:rsid w:val="00530FB5"/>
    <w:rsid w:val="00532C25"/>
    <w:rsid w:val="00532D51"/>
    <w:rsid w:val="00532E20"/>
    <w:rsid w:val="00533261"/>
    <w:rsid w:val="005347C8"/>
    <w:rsid w:val="00535E22"/>
    <w:rsid w:val="00536F5B"/>
    <w:rsid w:val="00537529"/>
    <w:rsid w:val="00540575"/>
    <w:rsid w:val="00540C6F"/>
    <w:rsid w:val="00540D30"/>
    <w:rsid w:val="005428B5"/>
    <w:rsid w:val="00542CD6"/>
    <w:rsid w:val="00544C29"/>
    <w:rsid w:val="0054582C"/>
    <w:rsid w:val="005461A4"/>
    <w:rsid w:val="0054623D"/>
    <w:rsid w:val="00546E79"/>
    <w:rsid w:val="00547748"/>
    <w:rsid w:val="00547B80"/>
    <w:rsid w:val="00547D83"/>
    <w:rsid w:val="00547E48"/>
    <w:rsid w:val="00550D41"/>
    <w:rsid w:val="00551794"/>
    <w:rsid w:val="00551981"/>
    <w:rsid w:val="00551D92"/>
    <w:rsid w:val="00551E47"/>
    <w:rsid w:val="005521AD"/>
    <w:rsid w:val="0055234C"/>
    <w:rsid w:val="00552734"/>
    <w:rsid w:val="00553A63"/>
    <w:rsid w:val="005542A8"/>
    <w:rsid w:val="005551B1"/>
    <w:rsid w:val="005552B2"/>
    <w:rsid w:val="005556DA"/>
    <w:rsid w:val="00555A1A"/>
    <w:rsid w:val="00555BD9"/>
    <w:rsid w:val="00555E92"/>
    <w:rsid w:val="0055604D"/>
    <w:rsid w:val="0055657C"/>
    <w:rsid w:val="00556789"/>
    <w:rsid w:val="005569D7"/>
    <w:rsid w:val="00556A27"/>
    <w:rsid w:val="0056053C"/>
    <w:rsid w:val="005607DF"/>
    <w:rsid w:val="00560C66"/>
    <w:rsid w:val="00560E26"/>
    <w:rsid w:val="005616C2"/>
    <w:rsid w:val="00561941"/>
    <w:rsid w:val="00561A77"/>
    <w:rsid w:val="00561B07"/>
    <w:rsid w:val="00561F5B"/>
    <w:rsid w:val="0056212F"/>
    <w:rsid w:val="00563B93"/>
    <w:rsid w:val="00563FF7"/>
    <w:rsid w:val="005649F4"/>
    <w:rsid w:val="0056611D"/>
    <w:rsid w:val="00566249"/>
    <w:rsid w:val="00566C8C"/>
    <w:rsid w:val="00567608"/>
    <w:rsid w:val="00570116"/>
    <w:rsid w:val="0057085E"/>
    <w:rsid w:val="00570A32"/>
    <w:rsid w:val="00570A66"/>
    <w:rsid w:val="005711B5"/>
    <w:rsid w:val="00571E62"/>
    <w:rsid w:val="00572059"/>
    <w:rsid w:val="00572254"/>
    <w:rsid w:val="00572D6A"/>
    <w:rsid w:val="00573AB1"/>
    <w:rsid w:val="00576172"/>
    <w:rsid w:val="005763D0"/>
    <w:rsid w:val="005766EE"/>
    <w:rsid w:val="00576EB8"/>
    <w:rsid w:val="0058060A"/>
    <w:rsid w:val="00581F38"/>
    <w:rsid w:val="0058277D"/>
    <w:rsid w:val="00582CB1"/>
    <w:rsid w:val="00584FFD"/>
    <w:rsid w:val="00585001"/>
    <w:rsid w:val="00585E12"/>
    <w:rsid w:val="00586130"/>
    <w:rsid w:val="00586605"/>
    <w:rsid w:val="0059013F"/>
    <w:rsid w:val="00590985"/>
    <w:rsid w:val="00590F1D"/>
    <w:rsid w:val="005919C4"/>
    <w:rsid w:val="005921BA"/>
    <w:rsid w:val="00592665"/>
    <w:rsid w:val="00593A9F"/>
    <w:rsid w:val="00594836"/>
    <w:rsid w:val="005948A5"/>
    <w:rsid w:val="00595189"/>
    <w:rsid w:val="00596208"/>
    <w:rsid w:val="005963BD"/>
    <w:rsid w:val="00597AF9"/>
    <w:rsid w:val="00597E10"/>
    <w:rsid w:val="00597EAA"/>
    <w:rsid w:val="00597EB8"/>
    <w:rsid w:val="005A2085"/>
    <w:rsid w:val="005A447F"/>
    <w:rsid w:val="005A4ABB"/>
    <w:rsid w:val="005A55BB"/>
    <w:rsid w:val="005A59A6"/>
    <w:rsid w:val="005A6DDF"/>
    <w:rsid w:val="005B1889"/>
    <w:rsid w:val="005B2E49"/>
    <w:rsid w:val="005B2F51"/>
    <w:rsid w:val="005B37D2"/>
    <w:rsid w:val="005B4162"/>
    <w:rsid w:val="005B456D"/>
    <w:rsid w:val="005B51F0"/>
    <w:rsid w:val="005B5363"/>
    <w:rsid w:val="005B54DB"/>
    <w:rsid w:val="005B56E6"/>
    <w:rsid w:val="005C0BF7"/>
    <w:rsid w:val="005C0DA4"/>
    <w:rsid w:val="005C0F98"/>
    <w:rsid w:val="005C1298"/>
    <w:rsid w:val="005C2415"/>
    <w:rsid w:val="005C2C15"/>
    <w:rsid w:val="005C3490"/>
    <w:rsid w:val="005C4127"/>
    <w:rsid w:val="005C4408"/>
    <w:rsid w:val="005C5F37"/>
    <w:rsid w:val="005C60A2"/>
    <w:rsid w:val="005C66E6"/>
    <w:rsid w:val="005C6933"/>
    <w:rsid w:val="005D014B"/>
    <w:rsid w:val="005D168F"/>
    <w:rsid w:val="005D1854"/>
    <w:rsid w:val="005D1E69"/>
    <w:rsid w:val="005D2385"/>
    <w:rsid w:val="005D2615"/>
    <w:rsid w:val="005D3D9D"/>
    <w:rsid w:val="005D3FAA"/>
    <w:rsid w:val="005D614C"/>
    <w:rsid w:val="005D682D"/>
    <w:rsid w:val="005D73E4"/>
    <w:rsid w:val="005D7F03"/>
    <w:rsid w:val="005E0F7A"/>
    <w:rsid w:val="005E3676"/>
    <w:rsid w:val="005E3796"/>
    <w:rsid w:val="005E3995"/>
    <w:rsid w:val="005E3A0A"/>
    <w:rsid w:val="005E3BA5"/>
    <w:rsid w:val="005E41C0"/>
    <w:rsid w:val="005E41F5"/>
    <w:rsid w:val="005E492F"/>
    <w:rsid w:val="005E51F7"/>
    <w:rsid w:val="005E9FB9"/>
    <w:rsid w:val="005F02AB"/>
    <w:rsid w:val="005F0C0F"/>
    <w:rsid w:val="005F0DF8"/>
    <w:rsid w:val="005F164E"/>
    <w:rsid w:val="005F2EC3"/>
    <w:rsid w:val="005F31DE"/>
    <w:rsid w:val="005F38EE"/>
    <w:rsid w:val="005F460F"/>
    <w:rsid w:val="005F5866"/>
    <w:rsid w:val="005F663D"/>
    <w:rsid w:val="005F6AAA"/>
    <w:rsid w:val="005F72D5"/>
    <w:rsid w:val="005F757A"/>
    <w:rsid w:val="005F95A2"/>
    <w:rsid w:val="00600E1A"/>
    <w:rsid w:val="006010A0"/>
    <w:rsid w:val="0060181C"/>
    <w:rsid w:val="00602CA6"/>
    <w:rsid w:val="00603AE3"/>
    <w:rsid w:val="006047F5"/>
    <w:rsid w:val="00605388"/>
    <w:rsid w:val="006059D7"/>
    <w:rsid w:val="00605A67"/>
    <w:rsid w:val="006060E8"/>
    <w:rsid w:val="00606F44"/>
    <w:rsid w:val="00606FAE"/>
    <w:rsid w:val="00607188"/>
    <w:rsid w:val="00607334"/>
    <w:rsid w:val="006077F8"/>
    <w:rsid w:val="006107A1"/>
    <w:rsid w:val="006108C0"/>
    <w:rsid w:val="0061094A"/>
    <w:rsid w:val="00611A54"/>
    <w:rsid w:val="00611AFF"/>
    <w:rsid w:val="006123A8"/>
    <w:rsid w:val="00612676"/>
    <w:rsid w:val="00614189"/>
    <w:rsid w:val="006155CB"/>
    <w:rsid w:val="00616670"/>
    <w:rsid w:val="00620B1F"/>
    <w:rsid w:val="006212F6"/>
    <w:rsid w:val="00621CF6"/>
    <w:rsid w:val="00622694"/>
    <w:rsid w:val="00622927"/>
    <w:rsid w:val="0062476C"/>
    <w:rsid w:val="00624AC8"/>
    <w:rsid w:val="00624F99"/>
    <w:rsid w:val="006250FC"/>
    <w:rsid w:val="006256CD"/>
    <w:rsid w:val="00625CA1"/>
    <w:rsid w:val="00625F5B"/>
    <w:rsid w:val="00626042"/>
    <w:rsid w:val="00626636"/>
    <w:rsid w:val="00626DCD"/>
    <w:rsid w:val="00626DF1"/>
    <w:rsid w:val="00627AEE"/>
    <w:rsid w:val="00627B16"/>
    <w:rsid w:val="00630C08"/>
    <w:rsid w:val="00631E9A"/>
    <w:rsid w:val="006337FB"/>
    <w:rsid w:val="006346D5"/>
    <w:rsid w:val="006355E2"/>
    <w:rsid w:val="006415BB"/>
    <w:rsid w:val="0064356F"/>
    <w:rsid w:val="006435B0"/>
    <w:rsid w:val="0064469E"/>
    <w:rsid w:val="00645C95"/>
    <w:rsid w:val="0064610A"/>
    <w:rsid w:val="00646715"/>
    <w:rsid w:val="006472F5"/>
    <w:rsid w:val="006475FD"/>
    <w:rsid w:val="00647C75"/>
    <w:rsid w:val="00650946"/>
    <w:rsid w:val="006509F8"/>
    <w:rsid w:val="00650AEA"/>
    <w:rsid w:val="00651EAF"/>
    <w:rsid w:val="00653CC0"/>
    <w:rsid w:val="00654861"/>
    <w:rsid w:val="00654C78"/>
    <w:rsid w:val="006573C1"/>
    <w:rsid w:val="0066216E"/>
    <w:rsid w:val="00662C55"/>
    <w:rsid w:val="00662DBF"/>
    <w:rsid w:val="00662E81"/>
    <w:rsid w:val="00663C03"/>
    <w:rsid w:val="006653A1"/>
    <w:rsid w:val="00670717"/>
    <w:rsid w:val="006716A9"/>
    <w:rsid w:val="0067185C"/>
    <w:rsid w:val="006718E0"/>
    <w:rsid w:val="00675016"/>
    <w:rsid w:val="00675246"/>
    <w:rsid w:val="0067543A"/>
    <w:rsid w:val="00675664"/>
    <w:rsid w:val="00676042"/>
    <w:rsid w:val="00676E68"/>
    <w:rsid w:val="006773D8"/>
    <w:rsid w:val="0067742A"/>
    <w:rsid w:val="0067750C"/>
    <w:rsid w:val="00680AEC"/>
    <w:rsid w:val="00680B69"/>
    <w:rsid w:val="00680C1F"/>
    <w:rsid w:val="00682B3E"/>
    <w:rsid w:val="0068336C"/>
    <w:rsid w:val="0068337F"/>
    <w:rsid w:val="00683414"/>
    <w:rsid w:val="00683721"/>
    <w:rsid w:val="00684406"/>
    <w:rsid w:val="00687155"/>
    <w:rsid w:val="00687854"/>
    <w:rsid w:val="006900CE"/>
    <w:rsid w:val="00690E78"/>
    <w:rsid w:val="0069108B"/>
    <w:rsid w:val="006913DC"/>
    <w:rsid w:val="00691A6A"/>
    <w:rsid w:val="00692029"/>
    <w:rsid w:val="0069368A"/>
    <w:rsid w:val="00693CD8"/>
    <w:rsid w:val="00695C31"/>
    <w:rsid w:val="00695D13"/>
    <w:rsid w:val="00695D71"/>
    <w:rsid w:val="00696D69"/>
    <w:rsid w:val="006971F4"/>
    <w:rsid w:val="00697DA0"/>
    <w:rsid w:val="006A0683"/>
    <w:rsid w:val="006A0D0E"/>
    <w:rsid w:val="006A0EF9"/>
    <w:rsid w:val="006A1EFF"/>
    <w:rsid w:val="006A1F06"/>
    <w:rsid w:val="006A245F"/>
    <w:rsid w:val="006A2833"/>
    <w:rsid w:val="006A2948"/>
    <w:rsid w:val="006A29FD"/>
    <w:rsid w:val="006A3968"/>
    <w:rsid w:val="006A44DA"/>
    <w:rsid w:val="006A45A9"/>
    <w:rsid w:val="006A4BB3"/>
    <w:rsid w:val="006A5763"/>
    <w:rsid w:val="006A702B"/>
    <w:rsid w:val="006A70AF"/>
    <w:rsid w:val="006B0728"/>
    <w:rsid w:val="006B1F43"/>
    <w:rsid w:val="006B2F43"/>
    <w:rsid w:val="006B4DC3"/>
    <w:rsid w:val="006B75E2"/>
    <w:rsid w:val="006B7709"/>
    <w:rsid w:val="006B7797"/>
    <w:rsid w:val="006C17A4"/>
    <w:rsid w:val="006C2422"/>
    <w:rsid w:val="006C2584"/>
    <w:rsid w:val="006C2BF2"/>
    <w:rsid w:val="006C37B7"/>
    <w:rsid w:val="006C3B92"/>
    <w:rsid w:val="006C59D2"/>
    <w:rsid w:val="006C75E8"/>
    <w:rsid w:val="006D3A61"/>
    <w:rsid w:val="006D3E4A"/>
    <w:rsid w:val="006D475A"/>
    <w:rsid w:val="006D578A"/>
    <w:rsid w:val="006D7A19"/>
    <w:rsid w:val="006E0594"/>
    <w:rsid w:val="006E08E1"/>
    <w:rsid w:val="006E113C"/>
    <w:rsid w:val="006E190B"/>
    <w:rsid w:val="006E3841"/>
    <w:rsid w:val="006E4514"/>
    <w:rsid w:val="006E461C"/>
    <w:rsid w:val="006E4A53"/>
    <w:rsid w:val="006E4D1A"/>
    <w:rsid w:val="006E5076"/>
    <w:rsid w:val="006E5C06"/>
    <w:rsid w:val="006E631C"/>
    <w:rsid w:val="006E63A4"/>
    <w:rsid w:val="006E7B14"/>
    <w:rsid w:val="006E7FC3"/>
    <w:rsid w:val="006F01CD"/>
    <w:rsid w:val="006F032C"/>
    <w:rsid w:val="006F090D"/>
    <w:rsid w:val="006F10FD"/>
    <w:rsid w:val="006F1253"/>
    <w:rsid w:val="006F1314"/>
    <w:rsid w:val="006F2448"/>
    <w:rsid w:val="006F28C3"/>
    <w:rsid w:val="006F2952"/>
    <w:rsid w:val="006F2B56"/>
    <w:rsid w:val="006F3032"/>
    <w:rsid w:val="006F3BAC"/>
    <w:rsid w:val="006F3D9A"/>
    <w:rsid w:val="006F4240"/>
    <w:rsid w:val="006F42BA"/>
    <w:rsid w:val="006F5918"/>
    <w:rsid w:val="006F6E0E"/>
    <w:rsid w:val="006F6F3D"/>
    <w:rsid w:val="006F71DB"/>
    <w:rsid w:val="006F73BC"/>
    <w:rsid w:val="006F7A66"/>
    <w:rsid w:val="007000A5"/>
    <w:rsid w:val="00700241"/>
    <w:rsid w:val="00700B41"/>
    <w:rsid w:val="00700EEF"/>
    <w:rsid w:val="00701D4B"/>
    <w:rsid w:val="00701E19"/>
    <w:rsid w:val="007029A4"/>
    <w:rsid w:val="007038B2"/>
    <w:rsid w:val="00703A33"/>
    <w:rsid w:val="00705090"/>
    <w:rsid w:val="00705098"/>
    <w:rsid w:val="00706181"/>
    <w:rsid w:val="00706706"/>
    <w:rsid w:val="00706BCC"/>
    <w:rsid w:val="007070C7"/>
    <w:rsid w:val="00707256"/>
    <w:rsid w:val="0071054D"/>
    <w:rsid w:val="007108E7"/>
    <w:rsid w:val="00711D03"/>
    <w:rsid w:val="00711D3A"/>
    <w:rsid w:val="00712288"/>
    <w:rsid w:val="0071394A"/>
    <w:rsid w:val="00713DD4"/>
    <w:rsid w:val="00714425"/>
    <w:rsid w:val="00714CBD"/>
    <w:rsid w:val="007152B3"/>
    <w:rsid w:val="00717C4D"/>
    <w:rsid w:val="0072142B"/>
    <w:rsid w:val="00722758"/>
    <w:rsid w:val="00722D6C"/>
    <w:rsid w:val="00724020"/>
    <w:rsid w:val="00724076"/>
    <w:rsid w:val="00724077"/>
    <w:rsid w:val="00724750"/>
    <w:rsid w:val="00724844"/>
    <w:rsid w:val="00726F2F"/>
    <w:rsid w:val="007273BC"/>
    <w:rsid w:val="0072747C"/>
    <w:rsid w:val="007302EB"/>
    <w:rsid w:val="00731BD9"/>
    <w:rsid w:val="00732BB3"/>
    <w:rsid w:val="00733509"/>
    <w:rsid w:val="0073374C"/>
    <w:rsid w:val="00734F8A"/>
    <w:rsid w:val="00735343"/>
    <w:rsid w:val="007354D4"/>
    <w:rsid w:val="0073574C"/>
    <w:rsid w:val="007363AB"/>
    <w:rsid w:val="007363C6"/>
    <w:rsid w:val="00736938"/>
    <w:rsid w:val="00737D52"/>
    <w:rsid w:val="00737EAF"/>
    <w:rsid w:val="00740079"/>
    <w:rsid w:val="007410B4"/>
    <w:rsid w:val="007413DF"/>
    <w:rsid w:val="007420AC"/>
    <w:rsid w:val="00743798"/>
    <w:rsid w:val="00743CD9"/>
    <w:rsid w:val="0074401E"/>
    <w:rsid w:val="00744C13"/>
    <w:rsid w:val="00744E83"/>
    <w:rsid w:val="007457FA"/>
    <w:rsid w:val="00747096"/>
    <w:rsid w:val="00747508"/>
    <w:rsid w:val="007478DE"/>
    <w:rsid w:val="007479FB"/>
    <w:rsid w:val="007504BF"/>
    <w:rsid w:val="00756D5A"/>
    <w:rsid w:val="00756E05"/>
    <w:rsid w:val="00757158"/>
    <w:rsid w:val="00757B4A"/>
    <w:rsid w:val="007606DF"/>
    <w:rsid w:val="00760D40"/>
    <w:rsid w:val="007610FC"/>
    <w:rsid w:val="007613E9"/>
    <w:rsid w:val="007619D3"/>
    <w:rsid w:val="0076209E"/>
    <w:rsid w:val="00762A6D"/>
    <w:rsid w:val="00764164"/>
    <w:rsid w:val="0076416A"/>
    <w:rsid w:val="00764795"/>
    <w:rsid w:val="0076500D"/>
    <w:rsid w:val="0076595F"/>
    <w:rsid w:val="00766C6F"/>
    <w:rsid w:val="00767677"/>
    <w:rsid w:val="00770053"/>
    <w:rsid w:val="007713E6"/>
    <w:rsid w:val="00771F83"/>
    <w:rsid w:val="007722AD"/>
    <w:rsid w:val="00772719"/>
    <w:rsid w:val="0077308B"/>
    <w:rsid w:val="00773AED"/>
    <w:rsid w:val="00773D45"/>
    <w:rsid w:val="00774590"/>
    <w:rsid w:val="0077576C"/>
    <w:rsid w:val="00775AEF"/>
    <w:rsid w:val="007767DA"/>
    <w:rsid w:val="0077728F"/>
    <w:rsid w:val="0077766C"/>
    <w:rsid w:val="00777957"/>
    <w:rsid w:val="00781AB9"/>
    <w:rsid w:val="00781EEB"/>
    <w:rsid w:val="007839B6"/>
    <w:rsid w:val="0078466A"/>
    <w:rsid w:val="00784D65"/>
    <w:rsid w:val="00785F89"/>
    <w:rsid w:val="00790095"/>
    <w:rsid w:val="00793CD1"/>
    <w:rsid w:val="00794F72"/>
    <w:rsid w:val="007962F0"/>
    <w:rsid w:val="00796EA9"/>
    <w:rsid w:val="00797310"/>
    <w:rsid w:val="0079757D"/>
    <w:rsid w:val="007A112B"/>
    <w:rsid w:val="007A30AB"/>
    <w:rsid w:val="007A49F5"/>
    <w:rsid w:val="007A53D8"/>
    <w:rsid w:val="007A7302"/>
    <w:rsid w:val="007B165D"/>
    <w:rsid w:val="007B1E67"/>
    <w:rsid w:val="007B384A"/>
    <w:rsid w:val="007B6203"/>
    <w:rsid w:val="007B6798"/>
    <w:rsid w:val="007B6BE1"/>
    <w:rsid w:val="007B6C77"/>
    <w:rsid w:val="007B70EF"/>
    <w:rsid w:val="007C117A"/>
    <w:rsid w:val="007C245D"/>
    <w:rsid w:val="007C25D9"/>
    <w:rsid w:val="007C28CF"/>
    <w:rsid w:val="007C2ED8"/>
    <w:rsid w:val="007C31C7"/>
    <w:rsid w:val="007C3680"/>
    <w:rsid w:val="007C4A00"/>
    <w:rsid w:val="007C4CC4"/>
    <w:rsid w:val="007C5ADB"/>
    <w:rsid w:val="007C659A"/>
    <w:rsid w:val="007C6BC8"/>
    <w:rsid w:val="007C7F90"/>
    <w:rsid w:val="007D0102"/>
    <w:rsid w:val="007D026B"/>
    <w:rsid w:val="007D0563"/>
    <w:rsid w:val="007D1A79"/>
    <w:rsid w:val="007D1B26"/>
    <w:rsid w:val="007D1CCE"/>
    <w:rsid w:val="007D2150"/>
    <w:rsid w:val="007D2232"/>
    <w:rsid w:val="007D2A22"/>
    <w:rsid w:val="007D2C37"/>
    <w:rsid w:val="007D32B7"/>
    <w:rsid w:val="007D3EE6"/>
    <w:rsid w:val="007D5286"/>
    <w:rsid w:val="007D5DD3"/>
    <w:rsid w:val="007D6867"/>
    <w:rsid w:val="007D769B"/>
    <w:rsid w:val="007D76CE"/>
    <w:rsid w:val="007D77E6"/>
    <w:rsid w:val="007E104D"/>
    <w:rsid w:val="007E1CAB"/>
    <w:rsid w:val="007E3117"/>
    <w:rsid w:val="007E316C"/>
    <w:rsid w:val="007E3242"/>
    <w:rsid w:val="007E4447"/>
    <w:rsid w:val="007E5037"/>
    <w:rsid w:val="007F1037"/>
    <w:rsid w:val="007F1625"/>
    <w:rsid w:val="007F1C28"/>
    <w:rsid w:val="007F1F6F"/>
    <w:rsid w:val="007F23AC"/>
    <w:rsid w:val="007F4825"/>
    <w:rsid w:val="007F4872"/>
    <w:rsid w:val="007F49F1"/>
    <w:rsid w:val="007F6FE0"/>
    <w:rsid w:val="007F71C4"/>
    <w:rsid w:val="007F7512"/>
    <w:rsid w:val="00801584"/>
    <w:rsid w:val="00801F1B"/>
    <w:rsid w:val="008025CA"/>
    <w:rsid w:val="008030FF"/>
    <w:rsid w:val="0080344C"/>
    <w:rsid w:val="0080365A"/>
    <w:rsid w:val="00803864"/>
    <w:rsid w:val="00803F3A"/>
    <w:rsid w:val="00804180"/>
    <w:rsid w:val="0080490A"/>
    <w:rsid w:val="008053E3"/>
    <w:rsid w:val="0080698E"/>
    <w:rsid w:val="00807903"/>
    <w:rsid w:val="00807D9C"/>
    <w:rsid w:val="00811A17"/>
    <w:rsid w:val="00812102"/>
    <w:rsid w:val="008128CB"/>
    <w:rsid w:val="00812D71"/>
    <w:rsid w:val="00815FED"/>
    <w:rsid w:val="00816060"/>
    <w:rsid w:val="00816D3E"/>
    <w:rsid w:val="0082023F"/>
    <w:rsid w:val="00820C26"/>
    <w:rsid w:val="00821C11"/>
    <w:rsid w:val="00822017"/>
    <w:rsid w:val="00822650"/>
    <w:rsid w:val="00822996"/>
    <w:rsid w:val="00822AD1"/>
    <w:rsid w:val="00822F28"/>
    <w:rsid w:val="00823753"/>
    <w:rsid w:val="00824A52"/>
    <w:rsid w:val="00824ABB"/>
    <w:rsid w:val="008258B5"/>
    <w:rsid w:val="00826214"/>
    <w:rsid w:val="0082712C"/>
    <w:rsid w:val="008272E3"/>
    <w:rsid w:val="008274A5"/>
    <w:rsid w:val="008322BA"/>
    <w:rsid w:val="00833386"/>
    <w:rsid w:val="008342C3"/>
    <w:rsid w:val="00834EEA"/>
    <w:rsid w:val="00835664"/>
    <w:rsid w:val="008373A3"/>
    <w:rsid w:val="008376D9"/>
    <w:rsid w:val="008378C4"/>
    <w:rsid w:val="0084008A"/>
    <w:rsid w:val="0084081E"/>
    <w:rsid w:val="00841486"/>
    <w:rsid w:val="008414D4"/>
    <w:rsid w:val="008415D5"/>
    <w:rsid w:val="0084235D"/>
    <w:rsid w:val="00842CC5"/>
    <w:rsid w:val="008442B3"/>
    <w:rsid w:val="00844679"/>
    <w:rsid w:val="00844A26"/>
    <w:rsid w:val="00845F86"/>
    <w:rsid w:val="00846DED"/>
    <w:rsid w:val="00846EE8"/>
    <w:rsid w:val="008512AE"/>
    <w:rsid w:val="00851F8C"/>
    <w:rsid w:val="0085298B"/>
    <w:rsid w:val="0085354F"/>
    <w:rsid w:val="00854182"/>
    <w:rsid w:val="00854E44"/>
    <w:rsid w:val="00856301"/>
    <w:rsid w:val="00856BB6"/>
    <w:rsid w:val="00856C68"/>
    <w:rsid w:val="008624E8"/>
    <w:rsid w:val="008628C0"/>
    <w:rsid w:val="00862C7C"/>
    <w:rsid w:val="00864A43"/>
    <w:rsid w:val="00864B32"/>
    <w:rsid w:val="00866DBD"/>
    <w:rsid w:val="008671FE"/>
    <w:rsid w:val="008677A7"/>
    <w:rsid w:val="00871A8D"/>
    <w:rsid w:val="008726E4"/>
    <w:rsid w:val="00872A3E"/>
    <w:rsid w:val="00873CD1"/>
    <w:rsid w:val="00873D2A"/>
    <w:rsid w:val="008745B4"/>
    <w:rsid w:val="0087534F"/>
    <w:rsid w:val="00875355"/>
    <w:rsid w:val="008759C1"/>
    <w:rsid w:val="00875B93"/>
    <w:rsid w:val="00875BC3"/>
    <w:rsid w:val="00876D06"/>
    <w:rsid w:val="00876D47"/>
    <w:rsid w:val="00877D1E"/>
    <w:rsid w:val="00880779"/>
    <w:rsid w:val="00880ABD"/>
    <w:rsid w:val="008814D4"/>
    <w:rsid w:val="00881CF6"/>
    <w:rsid w:val="00882E2A"/>
    <w:rsid w:val="008841B6"/>
    <w:rsid w:val="00884A05"/>
    <w:rsid w:val="00885608"/>
    <w:rsid w:val="00885A7D"/>
    <w:rsid w:val="00885B6D"/>
    <w:rsid w:val="008860C3"/>
    <w:rsid w:val="0088637F"/>
    <w:rsid w:val="00886EE8"/>
    <w:rsid w:val="00887C93"/>
    <w:rsid w:val="00887D3A"/>
    <w:rsid w:val="00887DBC"/>
    <w:rsid w:val="008900A8"/>
    <w:rsid w:val="00890AA8"/>
    <w:rsid w:val="00890C24"/>
    <w:rsid w:val="0089116A"/>
    <w:rsid w:val="008916B3"/>
    <w:rsid w:val="008918E3"/>
    <w:rsid w:val="00891FB6"/>
    <w:rsid w:val="0089346C"/>
    <w:rsid w:val="00893933"/>
    <w:rsid w:val="0089452F"/>
    <w:rsid w:val="00894C8E"/>
    <w:rsid w:val="00896586"/>
    <w:rsid w:val="00897913"/>
    <w:rsid w:val="00897DDE"/>
    <w:rsid w:val="008A00F2"/>
    <w:rsid w:val="008A11CF"/>
    <w:rsid w:val="008A300C"/>
    <w:rsid w:val="008A375E"/>
    <w:rsid w:val="008A38CD"/>
    <w:rsid w:val="008A43B4"/>
    <w:rsid w:val="008A49AB"/>
    <w:rsid w:val="008A4F78"/>
    <w:rsid w:val="008A50DF"/>
    <w:rsid w:val="008A5435"/>
    <w:rsid w:val="008A57FD"/>
    <w:rsid w:val="008A5A79"/>
    <w:rsid w:val="008A7916"/>
    <w:rsid w:val="008A7F03"/>
    <w:rsid w:val="008B03BA"/>
    <w:rsid w:val="008B1A18"/>
    <w:rsid w:val="008B22FC"/>
    <w:rsid w:val="008B2E40"/>
    <w:rsid w:val="008B305B"/>
    <w:rsid w:val="008B3ACF"/>
    <w:rsid w:val="008B42D5"/>
    <w:rsid w:val="008B5393"/>
    <w:rsid w:val="008B689D"/>
    <w:rsid w:val="008B6E1D"/>
    <w:rsid w:val="008B7707"/>
    <w:rsid w:val="008B7F8A"/>
    <w:rsid w:val="008C084E"/>
    <w:rsid w:val="008C170A"/>
    <w:rsid w:val="008C23E0"/>
    <w:rsid w:val="008C2EB8"/>
    <w:rsid w:val="008C2F78"/>
    <w:rsid w:val="008C3161"/>
    <w:rsid w:val="008C316E"/>
    <w:rsid w:val="008C3897"/>
    <w:rsid w:val="008C4359"/>
    <w:rsid w:val="008C4738"/>
    <w:rsid w:val="008C4D2B"/>
    <w:rsid w:val="008C52BD"/>
    <w:rsid w:val="008C61D2"/>
    <w:rsid w:val="008C64AD"/>
    <w:rsid w:val="008C6BA8"/>
    <w:rsid w:val="008C71FD"/>
    <w:rsid w:val="008C7FA3"/>
    <w:rsid w:val="008D0319"/>
    <w:rsid w:val="008D14FF"/>
    <w:rsid w:val="008D166B"/>
    <w:rsid w:val="008D2137"/>
    <w:rsid w:val="008D254D"/>
    <w:rsid w:val="008D283A"/>
    <w:rsid w:val="008D2BCA"/>
    <w:rsid w:val="008D309B"/>
    <w:rsid w:val="008D34A0"/>
    <w:rsid w:val="008D39AC"/>
    <w:rsid w:val="008D3B9F"/>
    <w:rsid w:val="008D5891"/>
    <w:rsid w:val="008D5A13"/>
    <w:rsid w:val="008D6030"/>
    <w:rsid w:val="008D60A3"/>
    <w:rsid w:val="008E1B49"/>
    <w:rsid w:val="008E1C76"/>
    <w:rsid w:val="008E2735"/>
    <w:rsid w:val="008E3DFB"/>
    <w:rsid w:val="008E4BB6"/>
    <w:rsid w:val="008E6C1C"/>
    <w:rsid w:val="008E7131"/>
    <w:rsid w:val="008E7274"/>
    <w:rsid w:val="008E7D38"/>
    <w:rsid w:val="008F0BB2"/>
    <w:rsid w:val="008F3306"/>
    <w:rsid w:val="008F3D73"/>
    <w:rsid w:val="008F3F88"/>
    <w:rsid w:val="008F44D6"/>
    <w:rsid w:val="008F4A62"/>
    <w:rsid w:val="008F53E5"/>
    <w:rsid w:val="008F5656"/>
    <w:rsid w:val="008F7D7E"/>
    <w:rsid w:val="00900093"/>
    <w:rsid w:val="00901C05"/>
    <w:rsid w:val="009020BB"/>
    <w:rsid w:val="009024E3"/>
    <w:rsid w:val="00902696"/>
    <w:rsid w:val="00902743"/>
    <w:rsid w:val="00903584"/>
    <w:rsid w:val="00903D9D"/>
    <w:rsid w:val="00904483"/>
    <w:rsid w:val="009048E0"/>
    <w:rsid w:val="00905148"/>
    <w:rsid w:val="0090569A"/>
    <w:rsid w:val="00905A60"/>
    <w:rsid w:val="00905E19"/>
    <w:rsid w:val="00907248"/>
    <w:rsid w:val="00910A0B"/>
    <w:rsid w:val="00910C52"/>
    <w:rsid w:val="00911EE9"/>
    <w:rsid w:val="00911F30"/>
    <w:rsid w:val="00912CAF"/>
    <w:rsid w:val="00913724"/>
    <w:rsid w:val="00914AA2"/>
    <w:rsid w:val="00915732"/>
    <w:rsid w:val="0091693B"/>
    <w:rsid w:val="00917E52"/>
    <w:rsid w:val="00920AEE"/>
    <w:rsid w:val="0092109E"/>
    <w:rsid w:val="009213BB"/>
    <w:rsid w:val="0092219D"/>
    <w:rsid w:val="009238B6"/>
    <w:rsid w:val="00923DE9"/>
    <w:rsid w:val="00927DDF"/>
    <w:rsid w:val="009302F3"/>
    <w:rsid w:val="00930340"/>
    <w:rsid w:val="00930514"/>
    <w:rsid w:val="00931352"/>
    <w:rsid w:val="00931879"/>
    <w:rsid w:val="009323B2"/>
    <w:rsid w:val="00932E30"/>
    <w:rsid w:val="00932FE0"/>
    <w:rsid w:val="00933016"/>
    <w:rsid w:val="0093353B"/>
    <w:rsid w:val="009336B9"/>
    <w:rsid w:val="00933B01"/>
    <w:rsid w:val="009354AF"/>
    <w:rsid w:val="009359E8"/>
    <w:rsid w:val="00935FFC"/>
    <w:rsid w:val="00936B9C"/>
    <w:rsid w:val="00937CE1"/>
    <w:rsid w:val="00940950"/>
    <w:rsid w:val="009410DD"/>
    <w:rsid w:val="00941CCE"/>
    <w:rsid w:val="00942160"/>
    <w:rsid w:val="00942FD7"/>
    <w:rsid w:val="00943380"/>
    <w:rsid w:val="009440C3"/>
    <w:rsid w:val="0094434A"/>
    <w:rsid w:val="00944F9B"/>
    <w:rsid w:val="00945EA8"/>
    <w:rsid w:val="009463A9"/>
    <w:rsid w:val="009464D6"/>
    <w:rsid w:val="00946A4B"/>
    <w:rsid w:val="009474BB"/>
    <w:rsid w:val="00950280"/>
    <w:rsid w:val="009506DB"/>
    <w:rsid w:val="00950B29"/>
    <w:rsid w:val="00950BDA"/>
    <w:rsid w:val="00951633"/>
    <w:rsid w:val="00952658"/>
    <w:rsid w:val="00952D46"/>
    <w:rsid w:val="009536F4"/>
    <w:rsid w:val="00954ADC"/>
    <w:rsid w:val="00954B5B"/>
    <w:rsid w:val="00954DD8"/>
    <w:rsid w:val="00954EEC"/>
    <w:rsid w:val="00955BAD"/>
    <w:rsid w:val="0095684C"/>
    <w:rsid w:val="00960229"/>
    <w:rsid w:val="009606ED"/>
    <w:rsid w:val="009609AA"/>
    <w:rsid w:val="00961C2F"/>
    <w:rsid w:val="00962A73"/>
    <w:rsid w:val="00962C88"/>
    <w:rsid w:val="009630D4"/>
    <w:rsid w:val="0096312D"/>
    <w:rsid w:val="00963B62"/>
    <w:rsid w:val="00963CAE"/>
    <w:rsid w:val="0096415A"/>
    <w:rsid w:val="0096464A"/>
    <w:rsid w:val="00964902"/>
    <w:rsid w:val="0096490E"/>
    <w:rsid w:val="00965CEF"/>
    <w:rsid w:val="00965FCA"/>
    <w:rsid w:val="0096619D"/>
    <w:rsid w:val="009674E5"/>
    <w:rsid w:val="00967B83"/>
    <w:rsid w:val="0097008C"/>
    <w:rsid w:val="00970316"/>
    <w:rsid w:val="00970729"/>
    <w:rsid w:val="00970EA7"/>
    <w:rsid w:val="00971053"/>
    <w:rsid w:val="00972260"/>
    <w:rsid w:val="00972EE5"/>
    <w:rsid w:val="0097311D"/>
    <w:rsid w:val="00974C00"/>
    <w:rsid w:val="00975BD9"/>
    <w:rsid w:val="00975F9E"/>
    <w:rsid w:val="00975FA5"/>
    <w:rsid w:val="009760A5"/>
    <w:rsid w:val="00977688"/>
    <w:rsid w:val="0098116F"/>
    <w:rsid w:val="0098179B"/>
    <w:rsid w:val="00982135"/>
    <w:rsid w:val="0098325D"/>
    <w:rsid w:val="009833C2"/>
    <w:rsid w:val="009835FD"/>
    <w:rsid w:val="009841CC"/>
    <w:rsid w:val="009846B5"/>
    <w:rsid w:val="00984AF3"/>
    <w:rsid w:val="00984E1E"/>
    <w:rsid w:val="0098512A"/>
    <w:rsid w:val="0098529C"/>
    <w:rsid w:val="009852C5"/>
    <w:rsid w:val="00985F2F"/>
    <w:rsid w:val="009860AE"/>
    <w:rsid w:val="00986322"/>
    <w:rsid w:val="0098693C"/>
    <w:rsid w:val="00986DAC"/>
    <w:rsid w:val="009874E3"/>
    <w:rsid w:val="00987C55"/>
    <w:rsid w:val="0099019F"/>
    <w:rsid w:val="00991EB7"/>
    <w:rsid w:val="00992C73"/>
    <w:rsid w:val="00994AEF"/>
    <w:rsid w:val="00997901"/>
    <w:rsid w:val="009A0CB9"/>
    <w:rsid w:val="009A1C63"/>
    <w:rsid w:val="009A1CC5"/>
    <w:rsid w:val="009A1FE5"/>
    <w:rsid w:val="009A236A"/>
    <w:rsid w:val="009A2843"/>
    <w:rsid w:val="009A30A0"/>
    <w:rsid w:val="009A3329"/>
    <w:rsid w:val="009A418A"/>
    <w:rsid w:val="009A43E8"/>
    <w:rsid w:val="009A49E7"/>
    <w:rsid w:val="009A4AC9"/>
    <w:rsid w:val="009A55B2"/>
    <w:rsid w:val="009A5B72"/>
    <w:rsid w:val="009A5F92"/>
    <w:rsid w:val="009A6E85"/>
    <w:rsid w:val="009B0D6E"/>
    <w:rsid w:val="009B2539"/>
    <w:rsid w:val="009B3A2E"/>
    <w:rsid w:val="009B4072"/>
    <w:rsid w:val="009B522B"/>
    <w:rsid w:val="009B55BA"/>
    <w:rsid w:val="009B7576"/>
    <w:rsid w:val="009C03BC"/>
    <w:rsid w:val="009C0691"/>
    <w:rsid w:val="009C06BA"/>
    <w:rsid w:val="009C0E70"/>
    <w:rsid w:val="009C17D1"/>
    <w:rsid w:val="009C1AED"/>
    <w:rsid w:val="009C1E15"/>
    <w:rsid w:val="009C5352"/>
    <w:rsid w:val="009C53A6"/>
    <w:rsid w:val="009C56A6"/>
    <w:rsid w:val="009C7E87"/>
    <w:rsid w:val="009D0994"/>
    <w:rsid w:val="009D1535"/>
    <w:rsid w:val="009D1D66"/>
    <w:rsid w:val="009D2EB8"/>
    <w:rsid w:val="009D4A5B"/>
    <w:rsid w:val="009D4E2B"/>
    <w:rsid w:val="009D6461"/>
    <w:rsid w:val="009D73C2"/>
    <w:rsid w:val="009D7ABC"/>
    <w:rsid w:val="009D7D15"/>
    <w:rsid w:val="009D7F6B"/>
    <w:rsid w:val="009E040A"/>
    <w:rsid w:val="009E130E"/>
    <w:rsid w:val="009E1A3D"/>
    <w:rsid w:val="009E1E5F"/>
    <w:rsid w:val="009E2EEF"/>
    <w:rsid w:val="009E38C3"/>
    <w:rsid w:val="009E3FE3"/>
    <w:rsid w:val="009E56FE"/>
    <w:rsid w:val="009E5768"/>
    <w:rsid w:val="009E61B3"/>
    <w:rsid w:val="009E7F52"/>
    <w:rsid w:val="009E7FF4"/>
    <w:rsid w:val="009F0C12"/>
    <w:rsid w:val="009F0DC3"/>
    <w:rsid w:val="009F1342"/>
    <w:rsid w:val="009F1BE8"/>
    <w:rsid w:val="009F35CB"/>
    <w:rsid w:val="009F3F2B"/>
    <w:rsid w:val="009F4363"/>
    <w:rsid w:val="009F475B"/>
    <w:rsid w:val="009F51EA"/>
    <w:rsid w:val="009F5C81"/>
    <w:rsid w:val="009F6C14"/>
    <w:rsid w:val="00A0048A"/>
    <w:rsid w:val="00A00705"/>
    <w:rsid w:val="00A012F8"/>
    <w:rsid w:val="00A02837"/>
    <w:rsid w:val="00A02BA0"/>
    <w:rsid w:val="00A02DE6"/>
    <w:rsid w:val="00A03341"/>
    <w:rsid w:val="00A03F32"/>
    <w:rsid w:val="00A040BF"/>
    <w:rsid w:val="00A04106"/>
    <w:rsid w:val="00A04597"/>
    <w:rsid w:val="00A06051"/>
    <w:rsid w:val="00A06FEB"/>
    <w:rsid w:val="00A075FE"/>
    <w:rsid w:val="00A07EBC"/>
    <w:rsid w:val="00A109B0"/>
    <w:rsid w:val="00A116A5"/>
    <w:rsid w:val="00A11F0B"/>
    <w:rsid w:val="00A123D4"/>
    <w:rsid w:val="00A134D5"/>
    <w:rsid w:val="00A1372D"/>
    <w:rsid w:val="00A1395D"/>
    <w:rsid w:val="00A14B11"/>
    <w:rsid w:val="00A14E24"/>
    <w:rsid w:val="00A15BE9"/>
    <w:rsid w:val="00A171AF"/>
    <w:rsid w:val="00A17646"/>
    <w:rsid w:val="00A177B9"/>
    <w:rsid w:val="00A2001B"/>
    <w:rsid w:val="00A2025D"/>
    <w:rsid w:val="00A20D0F"/>
    <w:rsid w:val="00A24020"/>
    <w:rsid w:val="00A24149"/>
    <w:rsid w:val="00A2414C"/>
    <w:rsid w:val="00A24445"/>
    <w:rsid w:val="00A25229"/>
    <w:rsid w:val="00A252BA"/>
    <w:rsid w:val="00A253D8"/>
    <w:rsid w:val="00A2661B"/>
    <w:rsid w:val="00A2719C"/>
    <w:rsid w:val="00A27363"/>
    <w:rsid w:val="00A27500"/>
    <w:rsid w:val="00A30672"/>
    <w:rsid w:val="00A31A3F"/>
    <w:rsid w:val="00A32361"/>
    <w:rsid w:val="00A32B7D"/>
    <w:rsid w:val="00A33319"/>
    <w:rsid w:val="00A33FDB"/>
    <w:rsid w:val="00A34EF4"/>
    <w:rsid w:val="00A34FA4"/>
    <w:rsid w:val="00A3773D"/>
    <w:rsid w:val="00A37A4F"/>
    <w:rsid w:val="00A406E7"/>
    <w:rsid w:val="00A40B35"/>
    <w:rsid w:val="00A4178A"/>
    <w:rsid w:val="00A41E3E"/>
    <w:rsid w:val="00A41F88"/>
    <w:rsid w:val="00A42595"/>
    <w:rsid w:val="00A4380F"/>
    <w:rsid w:val="00A43A49"/>
    <w:rsid w:val="00A4411D"/>
    <w:rsid w:val="00A44E47"/>
    <w:rsid w:val="00A450D9"/>
    <w:rsid w:val="00A46238"/>
    <w:rsid w:val="00A471FA"/>
    <w:rsid w:val="00A47BFD"/>
    <w:rsid w:val="00A50A26"/>
    <w:rsid w:val="00A51473"/>
    <w:rsid w:val="00A51530"/>
    <w:rsid w:val="00A52FC3"/>
    <w:rsid w:val="00A53AF3"/>
    <w:rsid w:val="00A5417A"/>
    <w:rsid w:val="00A54714"/>
    <w:rsid w:val="00A55181"/>
    <w:rsid w:val="00A5567B"/>
    <w:rsid w:val="00A55BAA"/>
    <w:rsid w:val="00A55EF5"/>
    <w:rsid w:val="00A562C5"/>
    <w:rsid w:val="00A569A8"/>
    <w:rsid w:val="00A56E01"/>
    <w:rsid w:val="00A571E5"/>
    <w:rsid w:val="00A57594"/>
    <w:rsid w:val="00A575BC"/>
    <w:rsid w:val="00A609C0"/>
    <w:rsid w:val="00A60DDE"/>
    <w:rsid w:val="00A61576"/>
    <w:rsid w:val="00A62098"/>
    <w:rsid w:val="00A6463F"/>
    <w:rsid w:val="00A65024"/>
    <w:rsid w:val="00A652B5"/>
    <w:rsid w:val="00A662A2"/>
    <w:rsid w:val="00A66DA1"/>
    <w:rsid w:val="00A66EC8"/>
    <w:rsid w:val="00A6770E"/>
    <w:rsid w:val="00A70139"/>
    <w:rsid w:val="00A70A04"/>
    <w:rsid w:val="00A70FAC"/>
    <w:rsid w:val="00A71214"/>
    <w:rsid w:val="00A7177D"/>
    <w:rsid w:val="00A719DD"/>
    <w:rsid w:val="00A71A21"/>
    <w:rsid w:val="00A72EED"/>
    <w:rsid w:val="00A7418E"/>
    <w:rsid w:val="00A74D76"/>
    <w:rsid w:val="00A7733F"/>
    <w:rsid w:val="00A8003B"/>
    <w:rsid w:val="00A8074D"/>
    <w:rsid w:val="00A810CB"/>
    <w:rsid w:val="00A81C8B"/>
    <w:rsid w:val="00A835B1"/>
    <w:rsid w:val="00A83BD8"/>
    <w:rsid w:val="00A83E49"/>
    <w:rsid w:val="00A8425B"/>
    <w:rsid w:val="00A84346"/>
    <w:rsid w:val="00A866B0"/>
    <w:rsid w:val="00A86B4F"/>
    <w:rsid w:val="00A87C2F"/>
    <w:rsid w:val="00A9110A"/>
    <w:rsid w:val="00A91B39"/>
    <w:rsid w:val="00A91BAF"/>
    <w:rsid w:val="00A92402"/>
    <w:rsid w:val="00A924BE"/>
    <w:rsid w:val="00A936DA"/>
    <w:rsid w:val="00A939DD"/>
    <w:rsid w:val="00A94F42"/>
    <w:rsid w:val="00A95BB4"/>
    <w:rsid w:val="00A96686"/>
    <w:rsid w:val="00A967AC"/>
    <w:rsid w:val="00A96D90"/>
    <w:rsid w:val="00A96EEB"/>
    <w:rsid w:val="00A9771C"/>
    <w:rsid w:val="00A97959"/>
    <w:rsid w:val="00A97C58"/>
    <w:rsid w:val="00AA031E"/>
    <w:rsid w:val="00AA0682"/>
    <w:rsid w:val="00AA0AAE"/>
    <w:rsid w:val="00AA0EB2"/>
    <w:rsid w:val="00AA15C2"/>
    <w:rsid w:val="00AA1E36"/>
    <w:rsid w:val="00AA3939"/>
    <w:rsid w:val="00AA4145"/>
    <w:rsid w:val="00AA4D15"/>
    <w:rsid w:val="00AA5DE2"/>
    <w:rsid w:val="00AA71D3"/>
    <w:rsid w:val="00AA7C92"/>
    <w:rsid w:val="00AB1E43"/>
    <w:rsid w:val="00AB1E7A"/>
    <w:rsid w:val="00AB27A0"/>
    <w:rsid w:val="00AB37F9"/>
    <w:rsid w:val="00AB4D60"/>
    <w:rsid w:val="00AB5468"/>
    <w:rsid w:val="00AB56B0"/>
    <w:rsid w:val="00AB5931"/>
    <w:rsid w:val="00AB5C4D"/>
    <w:rsid w:val="00AC0E0F"/>
    <w:rsid w:val="00AC1410"/>
    <w:rsid w:val="00AC1691"/>
    <w:rsid w:val="00AC21CF"/>
    <w:rsid w:val="00AC2411"/>
    <w:rsid w:val="00AC390D"/>
    <w:rsid w:val="00AC4226"/>
    <w:rsid w:val="00AC46C3"/>
    <w:rsid w:val="00AC7067"/>
    <w:rsid w:val="00AC71FC"/>
    <w:rsid w:val="00AD074A"/>
    <w:rsid w:val="00AD119C"/>
    <w:rsid w:val="00AD1A33"/>
    <w:rsid w:val="00AD1F25"/>
    <w:rsid w:val="00AD25E7"/>
    <w:rsid w:val="00AD3330"/>
    <w:rsid w:val="00AD3579"/>
    <w:rsid w:val="00AD36FD"/>
    <w:rsid w:val="00AD3BB6"/>
    <w:rsid w:val="00AD4772"/>
    <w:rsid w:val="00AD4AFD"/>
    <w:rsid w:val="00AD5503"/>
    <w:rsid w:val="00AD5743"/>
    <w:rsid w:val="00AD5E36"/>
    <w:rsid w:val="00AD6399"/>
    <w:rsid w:val="00AD676C"/>
    <w:rsid w:val="00AD71BE"/>
    <w:rsid w:val="00AD72E0"/>
    <w:rsid w:val="00AD7448"/>
    <w:rsid w:val="00AE180E"/>
    <w:rsid w:val="00AE1FE4"/>
    <w:rsid w:val="00AE330D"/>
    <w:rsid w:val="00AE3745"/>
    <w:rsid w:val="00AE4923"/>
    <w:rsid w:val="00AE499A"/>
    <w:rsid w:val="00AE5A8F"/>
    <w:rsid w:val="00AE5AD8"/>
    <w:rsid w:val="00AE75E1"/>
    <w:rsid w:val="00AF0083"/>
    <w:rsid w:val="00AF0963"/>
    <w:rsid w:val="00AF1489"/>
    <w:rsid w:val="00AF3239"/>
    <w:rsid w:val="00AF3A24"/>
    <w:rsid w:val="00AF428A"/>
    <w:rsid w:val="00AF43BC"/>
    <w:rsid w:val="00AF4D61"/>
    <w:rsid w:val="00AF599B"/>
    <w:rsid w:val="00AF61C2"/>
    <w:rsid w:val="00AF6225"/>
    <w:rsid w:val="00AF69E5"/>
    <w:rsid w:val="00AF79BC"/>
    <w:rsid w:val="00AF7B05"/>
    <w:rsid w:val="00AF7D40"/>
    <w:rsid w:val="00B02D9E"/>
    <w:rsid w:val="00B02E9F"/>
    <w:rsid w:val="00B03223"/>
    <w:rsid w:val="00B033C3"/>
    <w:rsid w:val="00B034CC"/>
    <w:rsid w:val="00B03510"/>
    <w:rsid w:val="00B038C9"/>
    <w:rsid w:val="00B03A20"/>
    <w:rsid w:val="00B043A1"/>
    <w:rsid w:val="00B048B7"/>
    <w:rsid w:val="00B0554B"/>
    <w:rsid w:val="00B057E7"/>
    <w:rsid w:val="00B05EE9"/>
    <w:rsid w:val="00B070FD"/>
    <w:rsid w:val="00B07B49"/>
    <w:rsid w:val="00B104BC"/>
    <w:rsid w:val="00B10818"/>
    <w:rsid w:val="00B109C9"/>
    <w:rsid w:val="00B12F9B"/>
    <w:rsid w:val="00B13388"/>
    <w:rsid w:val="00B1389A"/>
    <w:rsid w:val="00B15924"/>
    <w:rsid w:val="00B15DBC"/>
    <w:rsid w:val="00B220A1"/>
    <w:rsid w:val="00B236A0"/>
    <w:rsid w:val="00B23D18"/>
    <w:rsid w:val="00B247C1"/>
    <w:rsid w:val="00B24C7C"/>
    <w:rsid w:val="00B2609D"/>
    <w:rsid w:val="00B262CA"/>
    <w:rsid w:val="00B26BCC"/>
    <w:rsid w:val="00B2760A"/>
    <w:rsid w:val="00B31159"/>
    <w:rsid w:val="00B311F0"/>
    <w:rsid w:val="00B31443"/>
    <w:rsid w:val="00B32131"/>
    <w:rsid w:val="00B32985"/>
    <w:rsid w:val="00B34045"/>
    <w:rsid w:val="00B368BC"/>
    <w:rsid w:val="00B36E29"/>
    <w:rsid w:val="00B36E88"/>
    <w:rsid w:val="00B406AA"/>
    <w:rsid w:val="00B40ECF"/>
    <w:rsid w:val="00B40F6A"/>
    <w:rsid w:val="00B422BF"/>
    <w:rsid w:val="00B428AA"/>
    <w:rsid w:val="00B43368"/>
    <w:rsid w:val="00B43621"/>
    <w:rsid w:val="00B43C4E"/>
    <w:rsid w:val="00B445AF"/>
    <w:rsid w:val="00B44C4D"/>
    <w:rsid w:val="00B45469"/>
    <w:rsid w:val="00B45DEE"/>
    <w:rsid w:val="00B460E7"/>
    <w:rsid w:val="00B47DAB"/>
    <w:rsid w:val="00B47E62"/>
    <w:rsid w:val="00B50359"/>
    <w:rsid w:val="00B50D84"/>
    <w:rsid w:val="00B516C2"/>
    <w:rsid w:val="00B51F58"/>
    <w:rsid w:val="00B523E1"/>
    <w:rsid w:val="00B536A2"/>
    <w:rsid w:val="00B53B4B"/>
    <w:rsid w:val="00B53E68"/>
    <w:rsid w:val="00B54538"/>
    <w:rsid w:val="00B54D6A"/>
    <w:rsid w:val="00B552A5"/>
    <w:rsid w:val="00B55FC4"/>
    <w:rsid w:val="00B57654"/>
    <w:rsid w:val="00B57AE6"/>
    <w:rsid w:val="00B57B21"/>
    <w:rsid w:val="00B6030F"/>
    <w:rsid w:val="00B60678"/>
    <w:rsid w:val="00B609A2"/>
    <w:rsid w:val="00B61BDA"/>
    <w:rsid w:val="00B62340"/>
    <w:rsid w:val="00B628C0"/>
    <w:rsid w:val="00B62AEB"/>
    <w:rsid w:val="00B63889"/>
    <w:rsid w:val="00B63B2B"/>
    <w:rsid w:val="00B63CB0"/>
    <w:rsid w:val="00B64119"/>
    <w:rsid w:val="00B649F5"/>
    <w:rsid w:val="00B6523C"/>
    <w:rsid w:val="00B652DF"/>
    <w:rsid w:val="00B654EA"/>
    <w:rsid w:val="00B66AC7"/>
    <w:rsid w:val="00B67DFB"/>
    <w:rsid w:val="00B7020C"/>
    <w:rsid w:val="00B703F7"/>
    <w:rsid w:val="00B71E52"/>
    <w:rsid w:val="00B72224"/>
    <w:rsid w:val="00B725A3"/>
    <w:rsid w:val="00B7378D"/>
    <w:rsid w:val="00B74701"/>
    <w:rsid w:val="00B750EC"/>
    <w:rsid w:val="00B7566B"/>
    <w:rsid w:val="00B75767"/>
    <w:rsid w:val="00B757E0"/>
    <w:rsid w:val="00B75FD3"/>
    <w:rsid w:val="00B7665D"/>
    <w:rsid w:val="00B76F1D"/>
    <w:rsid w:val="00B77F90"/>
    <w:rsid w:val="00B808D9"/>
    <w:rsid w:val="00B80BE3"/>
    <w:rsid w:val="00B82018"/>
    <w:rsid w:val="00B820E8"/>
    <w:rsid w:val="00B846D3"/>
    <w:rsid w:val="00B85656"/>
    <w:rsid w:val="00B87980"/>
    <w:rsid w:val="00B903E1"/>
    <w:rsid w:val="00B90723"/>
    <w:rsid w:val="00B918B6"/>
    <w:rsid w:val="00B92DCA"/>
    <w:rsid w:val="00B930D3"/>
    <w:rsid w:val="00B9325D"/>
    <w:rsid w:val="00B93375"/>
    <w:rsid w:val="00B933D5"/>
    <w:rsid w:val="00B9360F"/>
    <w:rsid w:val="00B93946"/>
    <w:rsid w:val="00B954B4"/>
    <w:rsid w:val="00B96DE0"/>
    <w:rsid w:val="00B974D4"/>
    <w:rsid w:val="00B97ECE"/>
    <w:rsid w:val="00BA27B5"/>
    <w:rsid w:val="00BA298A"/>
    <w:rsid w:val="00BA32B3"/>
    <w:rsid w:val="00BA35FB"/>
    <w:rsid w:val="00BA394C"/>
    <w:rsid w:val="00BA615D"/>
    <w:rsid w:val="00BA71BA"/>
    <w:rsid w:val="00BA7F7E"/>
    <w:rsid w:val="00BB0403"/>
    <w:rsid w:val="00BB04B7"/>
    <w:rsid w:val="00BB06F2"/>
    <w:rsid w:val="00BB0797"/>
    <w:rsid w:val="00BB0F2F"/>
    <w:rsid w:val="00BB0F8A"/>
    <w:rsid w:val="00BB163E"/>
    <w:rsid w:val="00BB23CD"/>
    <w:rsid w:val="00BB2C4B"/>
    <w:rsid w:val="00BB360C"/>
    <w:rsid w:val="00BB3BB1"/>
    <w:rsid w:val="00BB4121"/>
    <w:rsid w:val="00BB5008"/>
    <w:rsid w:val="00BB562E"/>
    <w:rsid w:val="00BB6B5E"/>
    <w:rsid w:val="00BB7642"/>
    <w:rsid w:val="00BB7AD4"/>
    <w:rsid w:val="00BB7E6D"/>
    <w:rsid w:val="00BB7FF1"/>
    <w:rsid w:val="00BC14DF"/>
    <w:rsid w:val="00BC1A9B"/>
    <w:rsid w:val="00BC1F8C"/>
    <w:rsid w:val="00BC232E"/>
    <w:rsid w:val="00BC2884"/>
    <w:rsid w:val="00BC2A22"/>
    <w:rsid w:val="00BC35EA"/>
    <w:rsid w:val="00BC39C3"/>
    <w:rsid w:val="00BC4851"/>
    <w:rsid w:val="00BC5184"/>
    <w:rsid w:val="00BC5A19"/>
    <w:rsid w:val="00BC5F21"/>
    <w:rsid w:val="00BC6632"/>
    <w:rsid w:val="00BC70FA"/>
    <w:rsid w:val="00BC7671"/>
    <w:rsid w:val="00BD0EFE"/>
    <w:rsid w:val="00BD128B"/>
    <w:rsid w:val="00BD12AF"/>
    <w:rsid w:val="00BD1441"/>
    <w:rsid w:val="00BD23F6"/>
    <w:rsid w:val="00BD28CF"/>
    <w:rsid w:val="00BD3159"/>
    <w:rsid w:val="00BD367F"/>
    <w:rsid w:val="00BD4035"/>
    <w:rsid w:val="00BD4D10"/>
    <w:rsid w:val="00BD5E77"/>
    <w:rsid w:val="00BD60DF"/>
    <w:rsid w:val="00BD6E35"/>
    <w:rsid w:val="00BD6E37"/>
    <w:rsid w:val="00BD79C7"/>
    <w:rsid w:val="00BD7B1A"/>
    <w:rsid w:val="00BE064E"/>
    <w:rsid w:val="00BE08CF"/>
    <w:rsid w:val="00BE176F"/>
    <w:rsid w:val="00BE1B9B"/>
    <w:rsid w:val="00BE2054"/>
    <w:rsid w:val="00BE3724"/>
    <w:rsid w:val="00BE3C7B"/>
    <w:rsid w:val="00BE3D55"/>
    <w:rsid w:val="00BE4A9B"/>
    <w:rsid w:val="00BE57E0"/>
    <w:rsid w:val="00BE6770"/>
    <w:rsid w:val="00BEA243"/>
    <w:rsid w:val="00BF0CB3"/>
    <w:rsid w:val="00BF1BAE"/>
    <w:rsid w:val="00BF252B"/>
    <w:rsid w:val="00BF38A7"/>
    <w:rsid w:val="00BF4F8F"/>
    <w:rsid w:val="00BF54C5"/>
    <w:rsid w:val="00BF5EB0"/>
    <w:rsid w:val="00BF69FA"/>
    <w:rsid w:val="00BF6A97"/>
    <w:rsid w:val="00C00B9D"/>
    <w:rsid w:val="00C00EBC"/>
    <w:rsid w:val="00C01B80"/>
    <w:rsid w:val="00C01EBF"/>
    <w:rsid w:val="00C0221B"/>
    <w:rsid w:val="00C044CC"/>
    <w:rsid w:val="00C04AF2"/>
    <w:rsid w:val="00C04BC1"/>
    <w:rsid w:val="00C04FBB"/>
    <w:rsid w:val="00C05932"/>
    <w:rsid w:val="00C05ABF"/>
    <w:rsid w:val="00C05BE1"/>
    <w:rsid w:val="00C05CC3"/>
    <w:rsid w:val="00C05F94"/>
    <w:rsid w:val="00C0D99F"/>
    <w:rsid w:val="00C101D5"/>
    <w:rsid w:val="00C10D39"/>
    <w:rsid w:val="00C1106C"/>
    <w:rsid w:val="00C11B43"/>
    <w:rsid w:val="00C12141"/>
    <w:rsid w:val="00C13391"/>
    <w:rsid w:val="00C148E5"/>
    <w:rsid w:val="00C15331"/>
    <w:rsid w:val="00C16351"/>
    <w:rsid w:val="00C163FA"/>
    <w:rsid w:val="00C17A55"/>
    <w:rsid w:val="00C209A3"/>
    <w:rsid w:val="00C22086"/>
    <w:rsid w:val="00C223B6"/>
    <w:rsid w:val="00C2277D"/>
    <w:rsid w:val="00C22AEF"/>
    <w:rsid w:val="00C2312A"/>
    <w:rsid w:val="00C23C8E"/>
    <w:rsid w:val="00C24259"/>
    <w:rsid w:val="00C24501"/>
    <w:rsid w:val="00C248BC"/>
    <w:rsid w:val="00C2604F"/>
    <w:rsid w:val="00C26F1A"/>
    <w:rsid w:val="00C27BC9"/>
    <w:rsid w:val="00C30E99"/>
    <w:rsid w:val="00C3110C"/>
    <w:rsid w:val="00C31E13"/>
    <w:rsid w:val="00C327C1"/>
    <w:rsid w:val="00C33578"/>
    <w:rsid w:val="00C344FB"/>
    <w:rsid w:val="00C356FB"/>
    <w:rsid w:val="00C361F3"/>
    <w:rsid w:val="00C370D7"/>
    <w:rsid w:val="00C42EDB"/>
    <w:rsid w:val="00C445FB"/>
    <w:rsid w:val="00C45FD2"/>
    <w:rsid w:val="00C466C5"/>
    <w:rsid w:val="00C46EC2"/>
    <w:rsid w:val="00C47494"/>
    <w:rsid w:val="00C47743"/>
    <w:rsid w:val="00C50C85"/>
    <w:rsid w:val="00C513AE"/>
    <w:rsid w:val="00C52703"/>
    <w:rsid w:val="00C527D0"/>
    <w:rsid w:val="00C54A29"/>
    <w:rsid w:val="00C54E57"/>
    <w:rsid w:val="00C552D5"/>
    <w:rsid w:val="00C55458"/>
    <w:rsid w:val="00C5665F"/>
    <w:rsid w:val="00C56F80"/>
    <w:rsid w:val="00C60B7F"/>
    <w:rsid w:val="00C60BCB"/>
    <w:rsid w:val="00C620C8"/>
    <w:rsid w:val="00C62E97"/>
    <w:rsid w:val="00C6361B"/>
    <w:rsid w:val="00C639A1"/>
    <w:rsid w:val="00C63D90"/>
    <w:rsid w:val="00C64B00"/>
    <w:rsid w:val="00C6584A"/>
    <w:rsid w:val="00C65D19"/>
    <w:rsid w:val="00C67C53"/>
    <w:rsid w:val="00C67D8E"/>
    <w:rsid w:val="00C67E7B"/>
    <w:rsid w:val="00C67FA4"/>
    <w:rsid w:val="00C707F8"/>
    <w:rsid w:val="00C70DAB"/>
    <w:rsid w:val="00C72759"/>
    <w:rsid w:val="00C729C5"/>
    <w:rsid w:val="00C72B2A"/>
    <w:rsid w:val="00C72ED2"/>
    <w:rsid w:val="00C73558"/>
    <w:rsid w:val="00C748EB"/>
    <w:rsid w:val="00C74C61"/>
    <w:rsid w:val="00C75052"/>
    <w:rsid w:val="00C7517A"/>
    <w:rsid w:val="00C76837"/>
    <w:rsid w:val="00C76E38"/>
    <w:rsid w:val="00C777AA"/>
    <w:rsid w:val="00C80D85"/>
    <w:rsid w:val="00C80E15"/>
    <w:rsid w:val="00C814B8"/>
    <w:rsid w:val="00C8151B"/>
    <w:rsid w:val="00C818C8"/>
    <w:rsid w:val="00C81B73"/>
    <w:rsid w:val="00C82175"/>
    <w:rsid w:val="00C8239B"/>
    <w:rsid w:val="00C82A6D"/>
    <w:rsid w:val="00C82A72"/>
    <w:rsid w:val="00C83440"/>
    <w:rsid w:val="00C835BF"/>
    <w:rsid w:val="00C8395E"/>
    <w:rsid w:val="00C84331"/>
    <w:rsid w:val="00C844CE"/>
    <w:rsid w:val="00C84AD6"/>
    <w:rsid w:val="00C85546"/>
    <w:rsid w:val="00C855F8"/>
    <w:rsid w:val="00C85DC2"/>
    <w:rsid w:val="00C85FC6"/>
    <w:rsid w:val="00C86CCD"/>
    <w:rsid w:val="00C87163"/>
    <w:rsid w:val="00C877CE"/>
    <w:rsid w:val="00C90121"/>
    <w:rsid w:val="00C90C88"/>
    <w:rsid w:val="00C90EC6"/>
    <w:rsid w:val="00C90F78"/>
    <w:rsid w:val="00C91C01"/>
    <w:rsid w:val="00C91E21"/>
    <w:rsid w:val="00C91F24"/>
    <w:rsid w:val="00C926C6"/>
    <w:rsid w:val="00C94CA1"/>
    <w:rsid w:val="00C94CE6"/>
    <w:rsid w:val="00C964C1"/>
    <w:rsid w:val="00C97FC4"/>
    <w:rsid w:val="00CA0E29"/>
    <w:rsid w:val="00CA4969"/>
    <w:rsid w:val="00CA4B33"/>
    <w:rsid w:val="00CA5D54"/>
    <w:rsid w:val="00CA5FAF"/>
    <w:rsid w:val="00CA6A74"/>
    <w:rsid w:val="00CA78D9"/>
    <w:rsid w:val="00CA7C25"/>
    <w:rsid w:val="00CA7CBD"/>
    <w:rsid w:val="00CB1160"/>
    <w:rsid w:val="00CB1E7E"/>
    <w:rsid w:val="00CB22FA"/>
    <w:rsid w:val="00CB2577"/>
    <w:rsid w:val="00CB27A6"/>
    <w:rsid w:val="00CB58D2"/>
    <w:rsid w:val="00CB58F6"/>
    <w:rsid w:val="00CB6295"/>
    <w:rsid w:val="00CB6339"/>
    <w:rsid w:val="00CB66D2"/>
    <w:rsid w:val="00CB77B4"/>
    <w:rsid w:val="00CB77F7"/>
    <w:rsid w:val="00CB7E7D"/>
    <w:rsid w:val="00CC01D8"/>
    <w:rsid w:val="00CC02E2"/>
    <w:rsid w:val="00CC07A6"/>
    <w:rsid w:val="00CC2713"/>
    <w:rsid w:val="00CC2F21"/>
    <w:rsid w:val="00CC4B40"/>
    <w:rsid w:val="00CC4DC9"/>
    <w:rsid w:val="00CC5F6D"/>
    <w:rsid w:val="00CC66AF"/>
    <w:rsid w:val="00CC6752"/>
    <w:rsid w:val="00CC6EA3"/>
    <w:rsid w:val="00CD0B09"/>
    <w:rsid w:val="00CD0C59"/>
    <w:rsid w:val="00CD10C7"/>
    <w:rsid w:val="00CD1204"/>
    <w:rsid w:val="00CD1F5C"/>
    <w:rsid w:val="00CD2D95"/>
    <w:rsid w:val="00CD399C"/>
    <w:rsid w:val="00CD43D2"/>
    <w:rsid w:val="00CD4730"/>
    <w:rsid w:val="00CD504B"/>
    <w:rsid w:val="00CD504C"/>
    <w:rsid w:val="00CD5E3C"/>
    <w:rsid w:val="00CD63E8"/>
    <w:rsid w:val="00CD642B"/>
    <w:rsid w:val="00CD72EB"/>
    <w:rsid w:val="00CD7464"/>
    <w:rsid w:val="00CE08FF"/>
    <w:rsid w:val="00CE0980"/>
    <w:rsid w:val="00CE2568"/>
    <w:rsid w:val="00CE2D5D"/>
    <w:rsid w:val="00CE3945"/>
    <w:rsid w:val="00CE3E33"/>
    <w:rsid w:val="00CE3E3B"/>
    <w:rsid w:val="00CE3F52"/>
    <w:rsid w:val="00CE41D7"/>
    <w:rsid w:val="00CE46D5"/>
    <w:rsid w:val="00CE4B44"/>
    <w:rsid w:val="00CE5ABE"/>
    <w:rsid w:val="00CE6EBD"/>
    <w:rsid w:val="00CE6EFF"/>
    <w:rsid w:val="00CE70A8"/>
    <w:rsid w:val="00CE73F7"/>
    <w:rsid w:val="00CE77D8"/>
    <w:rsid w:val="00CF1155"/>
    <w:rsid w:val="00CF131F"/>
    <w:rsid w:val="00CF14B7"/>
    <w:rsid w:val="00CF1693"/>
    <w:rsid w:val="00CF37CC"/>
    <w:rsid w:val="00CF3901"/>
    <w:rsid w:val="00CF3B40"/>
    <w:rsid w:val="00CF45E4"/>
    <w:rsid w:val="00CF504F"/>
    <w:rsid w:val="00CF6949"/>
    <w:rsid w:val="00CF75CD"/>
    <w:rsid w:val="00CF7EF9"/>
    <w:rsid w:val="00D0012A"/>
    <w:rsid w:val="00D0198C"/>
    <w:rsid w:val="00D02584"/>
    <w:rsid w:val="00D0354A"/>
    <w:rsid w:val="00D03975"/>
    <w:rsid w:val="00D03F79"/>
    <w:rsid w:val="00D05505"/>
    <w:rsid w:val="00D05AE0"/>
    <w:rsid w:val="00D116A8"/>
    <w:rsid w:val="00D11BD0"/>
    <w:rsid w:val="00D13A2D"/>
    <w:rsid w:val="00D14370"/>
    <w:rsid w:val="00D14978"/>
    <w:rsid w:val="00D155B4"/>
    <w:rsid w:val="00D16307"/>
    <w:rsid w:val="00D17725"/>
    <w:rsid w:val="00D17FBF"/>
    <w:rsid w:val="00D205C4"/>
    <w:rsid w:val="00D208A5"/>
    <w:rsid w:val="00D20DDE"/>
    <w:rsid w:val="00D20DFB"/>
    <w:rsid w:val="00D2200E"/>
    <w:rsid w:val="00D236A0"/>
    <w:rsid w:val="00D23EBF"/>
    <w:rsid w:val="00D23FAE"/>
    <w:rsid w:val="00D2483E"/>
    <w:rsid w:val="00D24E41"/>
    <w:rsid w:val="00D2576E"/>
    <w:rsid w:val="00D25E36"/>
    <w:rsid w:val="00D2634C"/>
    <w:rsid w:val="00D27CEA"/>
    <w:rsid w:val="00D283B5"/>
    <w:rsid w:val="00D300C6"/>
    <w:rsid w:val="00D3028E"/>
    <w:rsid w:val="00D30A52"/>
    <w:rsid w:val="00D3144F"/>
    <w:rsid w:val="00D31EA6"/>
    <w:rsid w:val="00D32F69"/>
    <w:rsid w:val="00D3312E"/>
    <w:rsid w:val="00D336D7"/>
    <w:rsid w:val="00D33A29"/>
    <w:rsid w:val="00D33F56"/>
    <w:rsid w:val="00D348BF"/>
    <w:rsid w:val="00D35E0C"/>
    <w:rsid w:val="00D36335"/>
    <w:rsid w:val="00D36D36"/>
    <w:rsid w:val="00D37A2B"/>
    <w:rsid w:val="00D404E3"/>
    <w:rsid w:val="00D406BC"/>
    <w:rsid w:val="00D408EA"/>
    <w:rsid w:val="00D410CD"/>
    <w:rsid w:val="00D41AD1"/>
    <w:rsid w:val="00D41BF3"/>
    <w:rsid w:val="00D4262C"/>
    <w:rsid w:val="00D4386B"/>
    <w:rsid w:val="00D44E71"/>
    <w:rsid w:val="00D45260"/>
    <w:rsid w:val="00D4747E"/>
    <w:rsid w:val="00D47F1E"/>
    <w:rsid w:val="00D508CF"/>
    <w:rsid w:val="00D50C53"/>
    <w:rsid w:val="00D526C1"/>
    <w:rsid w:val="00D52D40"/>
    <w:rsid w:val="00D54A35"/>
    <w:rsid w:val="00D5787C"/>
    <w:rsid w:val="00D60220"/>
    <w:rsid w:val="00D617A0"/>
    <w:rsid w:val="00D619D6"/>
    <w:rsid w:val="00D61D11"/>
    <w:rsid w:val="00D61FB9"/>
    <w:rsid w:val="00D62D59"/>
    <w:rsid w:val="00D639DD"/>
    <w:rsid w:val="00D63C88"/>
    <w:rsid w:val="00D64CB0"/>
    <w:rsid w:val="00D653F1"/>
    <w:rsid w:val="00D657CF"/>
    <w:rsid w:val="00D65D49"/>
    <w:rsid w:val="00D66185"/>
    <w:rsid w:val="00D66636"/>
    <w:rsid w:val="00D66A8A"/>
    <w:rsid w:val="00D66F56"/>
    <w:rsid w:val="00D6705B"/>
    <w:rsid w:val="00D70779"/>
    <w:rsid w:val="00D7135B"/>
    <w:rsid w:val="00D73A72"/>
    <w:rsid w:val="00D7601F"/>
    <w:rsid w:val="00D8007C"/>
    <w:rsid w:val="00D804D0"/>
    <w:rsid w:val="00D804DF"/>
    <w:rsid w:val="00D82643"/>
    <w:rsid w:val="00D8670A"/>
    <w:rsid w:val="00D86CDC"/>
    <w:rsid w:val="00D87536"/>
    <w:rsid w:val="00D90757"/>
    <w:rsid w:val="00D915A3"/>
    <w:rsid w:val="00D91AEA"/>
    <w:rsid w:val="00D95227"/>
    <w:rsid w:val="00D962AC"/>
    <w:rsid w:val="00D963BA"/>
    <w:rsid w:val="00D972C7"/>
    <w:rsid w:val="00D979DC"/>
    <w:rsid w:val="00D97F7E"/>
    <w:rsid w:val="00DA17A7"/>
    <w:rsid w:val="00DA1B44"/>
    <w:rsid w:val="00DA23F5"/>
    <w:rsid w:val="00DA3BD3"/>
    <w:rsid w:val="00DA3DCD"/>
    <w:rsid w:val="00DA3DF5"/>
    <w:rsid w:val="00DA4B3D"/>
    <w:rsid w:val="00DA51AE"/>
    <w:rsid w:val="00DA58B7"/>
    <w:rsid w:val="00DA654D"/>
    <w:rsid w:val="00DA661B"/>
    <w:rsid w:val="00DA6684"/>
    <w:rsid w:val="00DA67B6"/>
    <w:rsid w:val="00DA67E2"/>
    <w:rsid w:val="00DA6878"/>
    <w:rsid w:val="00DA7017"/>
    <w:rsid w:val="00DA73A6"/>
    <w:rsid w:val="00DA749E"/>
    <w:rsid w:val="00DA7EE7"/>
    <w:rsid w:val="00DB051C"/>
    <w:rsid w:val="00DB127F"/>
    <w:rsid w:val="00DB1C75"/>
    <w:rsid w:val="00DB25C8"/>
    <w:rsid w:val="00DB2C7F"/>
    <w:rsid w:val="00DB33D6"/>
    <w:rsid w:val="00DB3BC8"/>
    <w:rsid w:val="00DB4B82"/>
    <w:rsid w:val="00DB5667"/>
    <w:rsid w:val="00DB6A96"/>
    <w:rsid w:val="00DB7E0A"/>
    <w:rsid w:val="00DC132C"/>
    <w:rsid w:val="00DC1C00"/>
    <w:rsid w:val="00DC2492"/>
    <w:rsid w:val="00DC45BD"/>
    <w:rsid w:val="00DC4FF8"/>
    <w:rsid w:val="00DC5539"/>
    <w:rsid w:val="00DC7B2B"/>
    <w:rsid w:val="00DD007E"/>
    <w:rsid w:val="00DD0E3C"/>
    <w:rsid w:val="00DD1BA9"/>
    <w:rsid w:val="00DD27E6"/>
    <w:rsid w:val="00DD34E8"/>
    <w:rsid w:val="00DD366A"/>
    <w:rsid w:val="00DD3D08"/>
    <w:rsid w:val="00DD3E03"/>
    <w:rsid w:val="00DD5B5E"/>
    <w:rsid w:val="00DD5E69"/>
    <w:rsid w:val="00DD6F45"/>
    <w:rsid w:val="00DD6FDC"/>
    <w:rsid w:val="00DD70AE"/>
    <w:rsid w:val="00DD7A7D"/>
    <w:rsid w:val="00DE0900"/>
    <w:rsid w:val="00DE30E1"/>
    <w:rsid w:val="00DE3144"/>
    <w:rsid w:val="00DE3A61"/>
    <w:rsid w:val="00DE57FD"/>
    <w:rsid w:val="00DE5D80"/>
    <w:rsid w:val="00DE6202"/>
    <w:rsid w:val="00DE64EE"/>
    <w:rsid w:val="00DE77CF"/>
    <w:rsid w:val="00DF0FCA"/>
    <w:rsid w:val="00DF2321"/>
    <w:rsid w:val="00DF3087"/>
    <w:rsid w:val="00DF395A"/>
    <w:rsid w:val="00DF58AE"/>
    <w:rsid w:val="00DF67BF"/>
    <w:rsid w:val="00DF6C02"/>
    <w:rsid w:val="00DF6DAB"/>
    <w:rsid w:val="00DF6FD9"/>
    <w:rsid w:val="00DF71C3"/>
    <w:rsid w:val="00DF7FD6"/>
    <w:rsid w:val="00DF8071"/>
    <w:rsid w:val="00E00F81"/>
    <w:rsid w:val="00E01999"/>
    <w:rsid w:val="00E0199D"/>
    <w:rsid w:val="00E01D85"/>
    <w:rsid w:val="00E01E86"/>
    <w:rsid w:val="00E02B93"/>
    <w:rsid w:val="00E030C1"/>
    <w:rsid w:val="00E034E6"/>
    <w:rsid w:val="00E03C3B"/>
    <w:rsid w:val="00E03C8C"/>
    <w:rsid w:val="00E05C50"/>
    <w:rsid w:val="00E0664B"/>
    <w:rsid w:val="00E06C9D"/>
    <w:rsid w:val="00E07230"/>
    <w:rsid w:val="00E07CB4"/>
    <w:rsid w:val="00E100C4"/>
    <w:rsid w:val="00E1122B"/>
    <w:rsid w:val="00E11518"/>
    <w:rsid w:val="00E11B95"/>
    <w:rsid w:val="00E1237F"/>
    <w:rsid w:val="00E1274B"/>
    <w:rsid w:val="00E12CFE"/>
    <w:rsid w:val="00E13584"/>
    <w:rsid w:val="00E14625"/>
    <w:rsid w:val="00E146DF"/>
    <w:rsid w:val="00E150B3"/>
    <w:rsid w:val="00E155C7"/>
    <w:rsid w:val="00E15AF3"/>
    <w:rsid w:val="00E15D38"/>
    <w:rsid w:val="00E16346"/>
    <w:rsid w:val="00E16583"/>
    <w:rsid w:val="00E17B26"/>
    <w:rsid w:val="00E23800"/>
    <w:rsid w:val="00E2424C"/>
    <w:rsid w:val="00E24C7C"/>
    <w:rsid w:val="00E25DDC"/>
    <w:rsid w:val="00E26498"/>
    <w:rsid w:val="00E26B13"/>
    <w:rsid w:val="00E26F39"/>
    <w:rsid w:val="00E27DDA"/>
    <w:rsid w:val="00E304F8"/>
    <w:rsid w:val="00E310CD"/>
    <w:rsid w:val="00E3121D"/>
    <w:rsid w:val="00E3278A"/>
    <w:rsid w:val="00E32B08"/>
    <w:rsid w:val="00E330BB"/>
    <w:rsid w:val="00E36762"/>
    <w:rsid w:val="00E37EF3"/>
    <w:rsid w:val="00E4010B"/>
    <w:rsid w:val="00E404EF"/>
    <w:rsid w:val="00E40820"/>
    <w:rsid w:val="00E40CA2"/>
    <w:rsid w:val="00E42B3B"/>
    <w:rsid w:val="00E4306A"/>
    <w:rsid w:val="00E43E30"/>
    <w:rsid w:val="00E443E0"/>
    <w:rsid w:val="00E44DF7"/>
    <w:rsid w:val="00E460F6"/>
    <w:rsid w:val="00E47EC7"/>
    <w:rsid w:val="00E50E54"/>
    <w:rsid w:val="00E51385"/>
    <w:rsid w:val="00E518FA"/>
    <w:rsid w:val="00E52F46"/>
    <w:rsid w:val="00E54219"/>
    <w:rsid w:val="00E54358"/>
    <w:rsid w:val="00E54CBD"/>
    <w:rsid w:val="00E56226"/>
    <w:rsid w:val="00E63BF1"/>
    <w:rsid w:val="00E64B84"/>
    <w:rsid w:val="00E64DA7"/>
    <w:rsid w:val="00E653A4"/>
    <w:rsid w:val="00E65AD1"/>
    <w:rsid w:val="00E6624A"/>
    <w:rsid w:val="00E6728D"/>
    <w:rsid w:val="00E67CB9"/>
    <w:rsid w:val="00E70CBC"/>
    <w:rsid w:val="00E71AEE"/>
    <w:rsid w:val="00E72741"/>
    <w:rsid w:val="00E7498B"/>
    <w:rsid w:val="00E74A29"/>
    <w:rsid w:val="00E75AB3"/>
    <w:rsid w:val="00E7616A"/>
    <w:rsid w:val="00E76704"/>
    <w:rsid w:val="00E77C87"/>
    <w:rsid w:val="00E81E45"/>
    <w:rsid w:val="00E82D80"/>
    <w:rsid w:val="00E83119"/>
    <w:rsid w:val="00E833A4"/>
    <w:rsid w:val="00E84804"/>
    <w:rsid w:val="00E84AAE"/>
    <w:rsid w:val="00E85F8D"/>
    <w:rsid w:val="00E87585"/>
    <w:rsid w:val="00E90132"/>
    <w:rsid w:val="00E90999"/>
    <w:rsid w:val="00E90B4C"/>
    <w:rsid w:val="00E912D9"/>
    <w:rsid w:val="00E914B7"/>
    <w:rsid w:val="00E919AA"/>
    <w:rsid w:val="00E922C0"/>
    <w:rsid w:val="00E92ABC"/>
    <w:rsid w:val="00E9335C"/>
    <w:rsid w:val="00E93632"/>
    <w:rsid w:val="00E93809"/>
    <w:rsid w:val="00E94282"/>
    <w:rsid w:val="00E9434E"/>
    <w:rsid w:val="00E94DDF"/>
    <w:rsid w:val="00E94F50"/>
    <w:rsid w:val="00E95026"/>
    <w:rsid w:val="00E951EB"/>
    <w:rsid w:val="00E95BB3"/>
    <w:rsid w:val="00E95E4F"/>
    <w:rsid w:val="00E962AB"/>
    <w:rsid w:val="00E971A4"/>
    <w:rsid w:val="00E976B6"/>
    <w:rsid w:val="00EA0BCE"/>
    <w:rsid w:val="00EA114A"/>
    <w:rsid w:val="00EA1AC3"/>
    <w:rsid w:val="00EA2308"/>
    <w:rsid w:val="00EA5D72"/>
    <w:rsid w:val="00EA62DA"/>
    <w:rsid w:val="00EA7085"/>
    <w:rsid w:val="00EA7C3A"/>
    <w:rsid w:val="00EB16FD"/>
    <w:rsid w:val="00EB2A8D"/>
    <w:rsid w:val="00EB2CD7"/>
    <w:rsid w:val="00EB2F51"/>
    <w:rsid w:val="00EB3A83"/>
    <w:rsid w:val="00EB3E63"/>
    <w:rsid w:val="00EB4604"/>
    <w:rsid w:val="00EB4B8E"/>
    <w:rsid w:val="00EB4FF7"/>
    <w:rsid w:val="00EB6A75"/>
    <w:rsid w:val="00EB755C"/>
    <w:rsid w:val="00EC0241"/>
    <w:rsid w:val="00EC0547"/>
    <w:rsid w:val="00EC0702"/>
    <w:rsid w:val="00EC0D0F"/>
    <w:rsid w:val="00EC14B9"/>
    <w:rsid w:val="00EC2351"/>
    <w:rsid w:val="00EC345F"/>
    <w:rsid w:val="00EC3DF0"/>
    <w:rsid w:val="00EC40E3"/>
    <w:rsid w:val="00EC57D7"/>
    <w:rsid w:val="00EC6774"/>
    <w:rsid w:val="00EC67C1"/>
    <w:rsid w:val="00EC6FFF"/>
    <w:rsid w:val="00EC7AF5"/>
    <w:rsid w:val="00EC7D33"/>
    <w:rsid w:val="00ED0DCB"/>
    <w:rsid w:val="00ED1CD3"/>
    <w:rsid w:val="00ED241C"/>
    <w:rsid w:val="00ED258D"/>
    <w:rsid w:val="00ED27B9"/>
    <w:rsid w:val="00ED3348"/>
    <w:rsid w:val="00ED3516"/>
    <w:rsid w:val="00ED3754"/>
    <w:rsid w:val="00ED4069"/>
    <w:rsid w:val="00ED657D"/>
    <w:rsid w:val="00ED67DC"/>
    <w:rsid w:val="00ED6CE7"/>
    <w:rsid w:val="00ED7C23"/>
    <w:rsid w:val="00EE02E5"/>
    <w:rsid w:val="00EE101A"/>
    <w:rsid w:val="00EE16BF"/>
    <w:rsid w:val="00EE1B25"/>
    <w:rsid w:val="00EE235A"/>
    <w:rsid w:val="00EE2E48"/>
    <w:rsid w:val="00EE30FE"/>
    <w:rsid w:val="00EE3153"/>
    <w:rsid w:val="00EE345F"/>
    <w:rsid w:val="00EE44F2"/>
    <w:rsid w:val="00EE46C9"/>
    <w:rsid w:val="00EE4704"/>
    <w:rsid w:val="00EE4DE2"/>
    <w:rsid w:val="00EE5373"/>
    <w:rsid w:val="00EE6D66"/>
    <w:rsid w:val="00EE759F"/>
    <w:rsid w:val="00EE75FC"/>
    <w:rsid w:val="00EE77DC"/>
    <w:rsid w:val="00EE7CF2"/>
    <w:rsid w:val="00EE7E26"/>
    <w:rsid w:val="00EE7F03"/>
    <w:rsid w:val="00EF0940"/>
    <w:rsid w:val="00EF0C3B"/>
    <w:rsid w:val="00EF13BC"/>
    <w:rsid w:val="00EF2B05"/>
    <w:rsid w:val="00EF3598"/>
    <w:rsid w:val="00EF3F29"/>
    <w:rsid w:val="00EF48EA"/>
    <w:rsid w:val="00EF4A86"/>
    <w:rsid w:val="00EF4DF5"/>
    <w:rsid w:val="00EF5A8F"/>
    <w:rsid w:val="00EF5AAC"/>
    <w:rsid w:val="00F01C7C"/>
    <w:rsid w:val="00F020C3"/>
    <w:rsid w:val="00F02CBD"/>
    <w:rsid w:val="00F03DDB"/>
    <w:rsid w:val="00F04353"/>
    <w:rsid w:val="00F04DA6"/>
    <w:rsid w:val="00F04EDD"/>
    <w:rsid w:val="00F11A7F"/>
    <w:rsid w:val="00F1201B"/>
    <w:rsid w:val="00F1377B"/>
    <w:rsid w:val="00F13A93"/>
    <w:rsid w:val="00F13D46"/>
    <w:rsid w:val="00F14007"/>
    <w:rsid w:val="00F14DDB"/>
    <w:rsid w:val="00F16F5A"/>
    <w:rsid w:val="00F20AD1"/>
    <w:rsid w:val="00F213CF"/>
    <w:rsid w:val="00F213EF"/>
    <w:rsid w:val="00F2193E"/>
    <w:rsid w:val="00F23080"/>
    <w:rsid w:val="00F237E0"/>
    <w:rsid w:val="00F2417E"/>
    <w:rsid w:val="00F25816"/>
    <w:rsid w:val="00F25BAD"/>
    <w:rsid w:val="00F26061"/>
    <w:rsid w:val="00F2658B"/>
    <w:rsid w:val="00F26686"/>
    <w:rsid w:val="00F312C3"/>
    <w:rsid w:val="00F3166F"/>
    <w:rsid w:val="00F320E8"/>
    <w:rsid w:val="00F33148"/>
    <w:rsid w:val="00F344C7"/>
    <w:rsid w:val="00F34FF0"/>
    <w:rsid w:val="00F377F2"/>
    <w:rsid w:val="00F37FB4"/>
    <w:rsid w:val="00F40A5C"/>
    <w:rsid w:val="00F40EB5"/>
    <w:rsid w:val="00F41324"/>
    <w:rsid w:val="00F42605"/>
    <w:rsid w:val="00F42AEE"/>
    <w:rsid w:val="00F43A67"/>
    <w:rsid w:val="00F43C04"/>
    <w:rsid w:val="00F44EC2"/>
    <w:rsid w:val="00F45111"/>
    <w:rsid w:val="00F458BC"/>
    <w:rsid w:val="00F45D4F"/>
    <w:rsid w:val="00F45D9E"/>
    <w:rsid w:val="00F45DC3"/>
    <w:rsid w:val="00F46220"/>
    <w:rsid w:val="00F46791"/>
    <w:rsid w:val="00F46A33"/>
    <w:rsid w:val="00F46E47"/>
    <w:rsid w:val="00F46EF3"/>
    <w:rsid w:val="00F476E2"/>
    <w:rsid w:val="00F507FE"/>
    <w:rsid w:val="00F5121B"/>
    <w:rsid w:val="00F51A5D"/>
    <w:rsid w:val="00F54A6F"/>
    <w:rsid w:val="00F54F08"/>
    <w:rsid w:val="00F560BE"/>
    <w:rsid w:val="00F60217"/>
    <w:rsid w:val="00F60D6A"/>
    <w:rsid w:val="00F611C5"/>
    <w:rsid w:val="00F615C9"/>
    <w:rsid w:val="00F61837"/>
    <w:rsid w:val="00F61CC8"/>
    <w:rsid w:val="00F625E2"/>
    <w:rsid w:val="00F62F57"/>
    <w:rsid w:val="00F65482"/>
    <w:rsid w:val="00F65548"/>
    <w:rsid w:val="00F657BC"/>
    <w:rsid w:val="00F65D1F"/>
    <w:rsid w:val="00F65DCD"/>
    <w:rsid w:val="00F66223"/>
    <w:rsid w:val="00F6731D"/>
    <w:rsid w:val="00F679F0"/>
    <w:rsid w:val="00F67EA4"/>
    <w:rsid w:val="00F70206"/>
    <w:rsid w:val="00F70CCF"/>
    <w:rsid w:val="00F71601"/>
    <w:rsid w:val="00F71A04"/>
    <w:rsid w:val="00F71E01"/>
    <w:rsid w:val="00F7282A"/>
    <w:rsid w:val="00F7347F"/>
    <w:rsid w:val="00F74A3E"/>
    <w:rsid w:val="00F758CD"/>
    <w:rsid w:val="00F7604E"/>
    <w:rsid w:val="00F762A7"/>
    <w:rsid w:val="00F76F3F"/>
    <w:rsid w:val="00F7777E"/>
    <w:rsid w:val="00F779C8"/>
    <w:rsid w:val="00F77B9F"/>
    <w:rsid w:val="00F80533"/>
    <w:rsid w:val="00F8074D"/>
    <w:rsid w:val="00F80A43"/>
    <w:rsid w:val="00F80EB9"/>
    <w:rsid w:val="00F81C78"/>
    <w:rsid w:val="00F8259C"/>
    <w:rsid w:val="00F8278A"/>
    <w:rsid w:val="00F837B4"/>
    <w:rsid w:val="00F8444A"/>
    <w:rsid w:val="00F84B64"/>
    <w:rsid w:val="00F85750"/>
    <w:rsid w:val="00F8677C"/>
    <w:rsid w:val="00F86D35"/>
    <w:rsid w:val="00F87DA6"/>
    <w:rsid w:val="00F91E85"/>
    <w:rsid w:val="00F92E70"/>
    <w:rsid w:val="00F940F0"/>
    <w:rsid w:val="00F9483E"/>
    <w:rsid w:val="00F94D57"/>
    <w:rsid w:val="00F94FF5"/>
    <w:rsid w:val="00F9589E"/>
    <w:rsid w:val="00F96A76"/>
    <w:rsid w:val="00F96CC5"/>
    <w:rsid w:val="00F97809"/>
    <w:rsid w:val="00FA0FC7"/>
    <w:rsid w:val="00FA1094"/>
    <w:rsid w:val="00FA1B77"/>
    <w:rsid w:val="00FA1FA4"/>
    <w:rsid w:val="00FA299E"/>
    <w:rsid w:val="00FA3056"/>
    <w:rsid w:val="00FA669E"/>
    <w:rsid w:val="00FA79A5"/>
    <w:rsid w:val="00FA7A2E"/>
    <w:rsid w:val="00FA7AF6"/>
    <w:rsid w:val="00FB0A9D"/>
    <w:rsid w:val="00FB13B4"/>
    <w:rsid w:val="00FB1939"/>
    <w:rsid w:val="00FB348E"/>
    <w:rsid w:val="00FB3742"/>
    <w:rsid w:val="00FB38BD"/>
    <w:rsid w:val="00FB3EBA"/>
    <w:rsid w:val="00FB4F80"/>
    <w:rsid w:val="00FB5773"/>
    <w:rsid w:val="00FB5B68"/>
    <w:rsid w:val="00FC2446"/>
    <w:rsid w:val="00FC2B55"/>
    <w:rsid w:val="00FC3225"/>
    <w:rsid w:val="00FC3C2E"/>
    <w:rsid w:val="00FC430F"/>
    <w:rsid w:val="00FC61C5"/>
    <w:rsid w:val="00FC6443"/>
    <w:rsid w:val="00FC6ED1"/>
    <w:rsid w:val="00FD0779"/>
    <w:rsid w:val="00FD0890"/>
    <w:rsid w:val="00FD0C8F"/>
    <w:rsid w:val="00FD1114"/>
    <w:rsid w:val="00FD3C61"/>
    <w:rsid w:val="00FD409F"/>
    <w:rsid w:val="00FD4B66"/>
    <w:rsid w:val="00FD4E52"/>
    <w:rsid w:val="00FD50F2"/>
    <w:rsid w:val="00FD5E76"/>
    <w:rsid w:val="00FD6AE2"/>
    <w:rsid w:val="00FD773B"/>
    <w:rsid w:val="00FD7988"/>
    <w:rsid w:val="00FD7D46"/>
    <w:rsid w:val="00FE3863"/>
    <w:rsid w:val="00FE413E"/>
    <w:rsid w:val="00FE4AEB"/>
    <w:rsid w:val="00FE4E31"/>
    <w:rsid w:val="00FE4F4A"/>
    <w:rsid w:val="00FE5004"/>
    <w:rsid w:val="00FE5ED7"/>
    <w:rsid w:val="00FE5F59"/>
    <w:rsid w:val="00FE6022"/>
    <w:rsid w:val="00FE7546"/>
    <w:rsid w:val="00FE7786"/>
    <w:rsid w:val="00FE7C00"/>
    <w:rsid w:val="00FE7F79"/>
    <w:rsid w:val="00FF06AB"/>
    <w:rsid w:val="00FF2CAF"/>
    <w:rsid w:val="00FF2E52"/>
    <w:rsid w:val="00FF3F3D"/>
    <w:rsid w:val="00FF4328"/>
    <w:rsid w:val="00FF43A3"/>
    <w:rsid w:val="00FF48D3"/>
    <w:rsid w:val="00FF5F44"/>
    <w:rsid w:val="00FF6242"/>
    <w:rsid w:val="00FF6778"/>
    <w:rsid w:val="00FF7700"/>
    <w:rsid w:val="00FF7764"/>
    <w:rsid w:val="013C0EC7"/>
    <w:rsid w:val="01551C80"/>
    <w:rsid w:val="0155463D"/>
    <w:rsid w:val="0166DE99"/>
    <w:rsid w:val="0167A72E"/>
    <w:rsid w:val="0169839D"/>
    <w:rsid w:val="017151AC"/>
    <w:rsid w:val="01797A36"/>
    <w:rsid w:val="0182E2ED"/>
    <w:rsid w:val="019CA6CB"/>
    <w:rsid w:val="019FDC7C"/>
    <w:rsid w:val="01A8C928"/>
    <w:rsid w:val="01BF23FE"/>
    <w:rsid w:val="01D32416"/>
    <w:rsid w:val="01D915FC"/>
    <w:rsid w:val="01E51A56"/>
    <w:rsid w:val="01F8545B"/>
    <w:rsid w:val="01FF8DB1"/>
    <w:rsid w:val="02036CB7"/>
    <w:rsid w:val="020530E9"/>
    <w:rsid w:val="020B6BEF"/>
    <w:rsid w:val="022F1954"/>
    <w:rsid w:val="023CC30D"/>
    <w:rsid w:val="023D6C0D"/>
    <w:rsid w:val="024BE8F0"/>
    <w:rsid w:val="024F8CD8"/>
    <w:rsid w:val="026228EA"/>
    <w:rsid w:val="02732063"/>
    <w:rsid w:val="0276C2E9"/>
    <w:rsid w:val="028F22F7"/>
    <w:rsid w:val="02A6664C"/>
    <w:rsid w:val="02A735A9"/>
    <w:rsid w:val="02BBB9D8"/>
    <w:rsid w:val="02C1DB58"/>
    <w:rsid w:val="02C60A38"/>
    <w:rsid w:val="02D5AB53"/>
    <w:rsid w:val="02E1C076"/>
    <w:rsid w:val="02FAD3DF"/>
    <w:rsid w:val="03044914"/>
    <w:rsid w:val="030BA7DA"/>
    <w:rsid w:val="0322D25B"/>
    <w:rsid w:val="0338C7F7"/>
    <w:rsid w:val="034124BC"/>
    <w:rsid w:val="0348DD6F"/>
    <w:rsid w:val="03501E5F"/>
    <w:rsid w:val="0352D470"/>
    <w:rsid w:val="036E223E"/>
    <w:rsid w:val="037AB286"/>
    <w:rsid w:val="037D14F1"/>
    <w:rsid w:val="038B5BDA"/>
    <w:rsid w:val="0399FF78"/>
    <w:rsid w:val="03B458B6"/>
    <w:rsid w:val="03C6C410"/>
    <w:rsid w:val="03F53D08"/>
    <w:rsid w:val="03F593BF"/>
    <w:rsid w:val="03FAD346"/>
    <w:rsid w:val="04067DD4"/>
    <w:rsid w:val="040C0AAF"/>
    <w:rsid w:val="040CFCE9"/>
    <w:rsid w:val="04212C5D"/>
    <w:rsid w:val="0436B613"/>
    <w:rsid w:val="044054BA"/>
    <w:rsid w:val="0454705D"/>
    <w:rsid w:val="046ADE11"/>
    <w:rsid w:val="0472F608"/>
    <w:rsid w:val="048985DE"/>
    <w:rsid w:val="04926893"/>
    <w:rsid w:val="04985086"/>
    <w:rsid w:val="049ADB83"/>
    <w:rsid w:val="04AB4179"/>
    <w:rsid w:val="04AD1A7F"/>
    <w:rsid w:val="04E37494"/>
    <w:rsid w:val="04EA66B6"/>
    <w:rsid w:val="04EF37D0"/>
    <w:rsid w:val="0504534A"/>
    <w:rsid w:val="05077914"/>
    <w:rsid w:val="05129EDB"/>
    <w:rsid w:val="051373BC"/>
    <w:rsid w:val="0554896A"/>
    <w:rsid w:val="0564699A"/>
    <w:rsid w:val="057F73E0"/>
    <w:rsid w:val="058941A1"/>
    <w:rsid w:val="0597F078"/>
    <w:rsid w:val="0599B560"/>
    <w:rsid w:val="05A44511"/>
    <w:rsid w:val="05A9DB24"/>
    <w:rsid w:val="05B3C8AE"/>
    <w:rsid w:val="05CE6EDD"/>
    <w:rsid w:val="05DC8791"/>
    <w:rsid w:val="05DCCD5E"/>
    <w:rsid w:val="05E4135E"/>
    <w:rsid w:val="05FB0341"/>
    <w:rsid w:val="0610E2B2"/>
    <w:rsid w:val="061B948A"/>
    <w:rsid w:val="061DDD96"/>
    <w:rsid w:val="062B8200"/>
    <w:rsid w:val="0632E89B"/>
    <w:rsid w:val="0644BF8D"/>
    <w:rsid w:val="06456375"/>
    <w:rsid w:val="065CF5FD"/>
    <w:rsid w:val="06635CC2"/>
    <w:rsid w:val="066CC4E1"/>
    <w:rsid w:val="0685185D"/>
    <w:rsid w:val="068C9E3F"/>
    <w:rsid w:val="06906017"/>
    <w:rsid w:val="069D6D35"/>
    <w:rsid w:val="069E3C1A"/>
    <w:rsid w:val="06ABA4BE"/>
    <w:rsid w:val="06BF4950"/>
    <w:rsid w:val="06C96297"/>
    <w:rsid w:val="06DCDA20"/>
    <w:rsid w:val="06DFB5CD"/>
    <w:rsid w:val="06E1ABF3"/>
    <w:rsid w:val="06E726B5"/>
    <w:rsid w:val="06F30EBD"/>
    <w:rsid w:val="06FCADA0"/>
    <w:rsid w:val="06FD1DFB"/>
    <w:rsid w:val="071BD026"/>
    <w:rsid w:val="072E4485"/>
    <w:rsid w:val="0760DFB3"/>
    <w:rsid w:val="076C0724"/>
    <w:rsid w:val="0788B466"/>
    <w:rsid w:val="07A7FE43"/>
    <w:rsid w:val="07ACFC0F"/>
    <w:rsid w:val="07B8DB86"/>
    <w:rsid w:val="07CC8261"/>
    <w:rsid w:val="07D2C029"/>
    <w:rsid w:val="07DBB3AC"/>
    <w:rsid w:val="07EAB996"/>
    <w:rsid w:val="07FB2335"/>
    <w:rsid w:val="08124E2A"/>
    <w:rsid w:val="08153910"/>
    <w:rsid w:val="0816F660"/>
    <w:rsid w:val="082EA258"/>
    <w:rsid w:val="08459413"/>
    <w:rsid w:val="0846165B"/>
    <w:rsid w:val="084B129C"/>
    <w:rsid w:val="087A3136"/>
    <w:rsid w:val="0888AAC7"/>
    <w:rsid w:val="08956B72"/>
    <w:rsid w:val="08AAFDC9"/>
    <w:rsid w:val="08BECC6D"/>
    <w:rsid w:val="08CDA1B6"/>
    <w:rsid w:val="08E5A85C"/>
    <w:rsid w:val="08E7B240"/>
    <w:rsid w:val="090E0DF7"/>
    <w:rsid w:val="091FE4A6"/>
    <w:rsid w:val="092E6889"/>
    <w:rsid w:val="0971DF95"/>
    <w:rsid w:val="0972522A"/>
    <w:rsid w:val="097CFE5B"/>
    <w:rsid w:val="098318E1"/>
    <w:rsid w:val="098C14FA"/>
    <w:rsid w:val="09CAB8DD"/>
    <w:rsid w:val="09D5B0A3"/>
    <w:rsid w:val="09F651A6"/>
    <w:rsid w:val="0A02A3FE"/>
    <w:rsid w:val="0A136EFE"/>
    <w:rsid w:val="0A1E58AD"/>
    <w:rsid w:val="0A270C89"/>
    <w:rsid w:val="0A310ABB"/>
    <w:rsid w:val="0A311BFD"/>
    <w:rsid w:val="0A522AF0"/>
    <w:rsid w:val="0A89166D"/>
    <w:rsid w:val="0A8A34CE"/>
    <w:rsid w:val="0A8B3F64"/>
    <w:rsid w:val="0A8D5B76"/>
    <w:rsid w:val="0A91AEDF"/>
    <w:rsid w:val="0A9355A4"/>
    <w:rsid w:val="0A9540B9"/>
    <w:rsid w:val="0A9BF7DD"/>
    <w:rsid w:val="0AA6B2F4"/>
    <w:rsid w:val="0AB9BA28"/>
    <w:rsid w:val="0ABA5110"/>
    <w:rsid w:val="0AC4D284"/>
    <w:rsid w:val="0AC52471"/>
    <w:rsid w:val="0AE1F24D"/>
    <w:rsid w:val="0AEADAF7"/>
    <w:rsid w:val="0B052BCA"/>
    <w:rsid w:val="0B1536FA"/>
    <w:rsid w:val="0B1EA1A7"/>
    <w:rsid w:val="0B350DC3"/>
    <w:rsid w:val="0B502223"/>
    <w:rsid w:val="0B68B802"/>
    <w:rsid w:val="0B7ABD22"/>
    <w:rsid w:val="0B877005"/>
    <w:rsid w:val="0BB05EF8"/>
    <w:rsid w:val="0BEA911C"/>
    <w:rsid w:val="0BED3108"/>
    <w:rsid w:val="0BEEB89D"/>
    <w:rsid w:val="0C028A89"/>
    <w:rsid w:val="0C13E02E"/>
    <w:rsid w:val="0C14C2EC"/>
    <w:rsid w:val="0C2BD99B"/>
    <w:rsid w:val="0C3C1853"/>
    <w:rsid w:val="0C454C56"/>
    <w:rsid w:val="0C49FEE4"/>
    <w:rsid w:val="0C4D6FD0"/>
    <w:rsid w:val="0C4E37D3"/>
    <w:rsid w:val="0C532FDD"/>
    <w:rsid w:val="0C6424C1"/>
    <w:rsid w:val="0C7429C7"/>
    <w:rsid w:val="0C7451C7"/>
    <w:rsid w:val="0C7D767E"/>
    <w:rsid w:val="0CC39DB9"/>
    <w:rsid w:val="0CD55FD2"/>
    <w:rsid w:val="0CD73344"/>
    <w:rsid w:val="0CE32E9A"/>
    <w:rsid w:val="0CEAC989"/>
    <w:rsid w:val="0CF508E7"/>
    <w:rsid w:val="0CFD97F7"/>
    <w:rsid w:val="0D157F4D"/>
    <w:rsid w:val="0D5302CA"/>
    <w:rsid w:val="0D6C9216"/>
    <w:rsid w:val="0D6D6E92"/>
    <w:rsid w:val="0D73A1F4"/>
    <w:rsid w:val="0D7D51BF"/>
    <w:rsid w:val="0D8A997F"/>
    <w:rsid w:val="0D965B4E"/>
    <w:rsid w:val="0DABED46"/>
    <w:rsid w:val="0DB33F74"/>
    <w:rsid w:val="0DBA0D08"/>
    <w:rsid w:val="0DC3484F"/>
    <w:rsid w:val="0DD34C48"/>
    <w:rsid w:val="0DDC616D"/>
    <w:rsid w:val="0DE0B78B"/>
    <w:rsid w:val="0DE1A19C"/>
    <w:rsid w:val="0DF14693"/>
    <w:rsid w:val="0DF385F9"/>
    <w:rsid w:val="0DF5CBD6"/>
    <w:rsid w:val="0E05B07F"/>
    <w:rsid w:val="0E1ADBD2"/>
    <w:rsid w:val="0E31F2C9"/>
    <w:rsid w:val="0E43C79F"/>
    <w:rsid w:val="0E533166"/>
    <w:rsid w:val="0E5B9D29"/>
    <w:rsid w:val="0E78804C"/>
    <w:rsid w:val="0E827FBD"/>
    <w:rsid w:val="0E8D56C8"/>
    <w:rsid w:val="0E8FC6E8"/>
    <w:rsid w:val="0EACD310"/>
    <w:rsid w:val="0EB95325"/>
    <w:rsid w:val="0EC123D3"/>
    <w:rsid w:val="0EC9A982"/>
    <w:rsid w:val="0ECA721F"/>
    <w:rsid w:val="0ED37D64"/>
    <w:rsid w:val="0EF62884"/>
    <w:rsid w:val="0F077C96"/>
    <w:rsid w:val="0F08EFA8"/>
    <w:rsid w:val="0F128D3F"/>
    <w:rsid w:val="0F1A17FA"/>
    <w:rsid w:val="0F33BD43"/>
    <w:rsid w:val="0F40AC78"/>
    <w:rsid w:val="0F46AB4F"/>
    <w:rsid w:val="0F56371C"/>
    <w:rsid w:val="0FABDA9C"/>
    <w:rsid w:val="0FBE4D07"/>
    <w:rsid w:val="0FD3B30C"/>
    <w:rsid w:val="0FE2AD96"/>
    <w:rsid w:val="0FE8969B"/>
    <w:rsid w:val="0FEA8AE6"/>
    <w:rsid w:val="0FEFAA52"/>
    <w:rsid w:val="0FF05200"/>
    <w:rsid w:val="0FF158B7"/>
    <w:rsid w:val="10098F8D"/>
    <w:rsid w:val="100A7965"/>
    <w:rsid w:val="100F579D"/>
    <w:rsid w:val="10203FF6"/>
    <w:rsid w:val="102710A9"/>
    <w:rsid w:val="1030DCA6"/>
    <w:rsid w:val="104B1840"/>
    <w:rsid w:val="104FF8BF"/>
    <w:rsid w:val="10549A09"/>
    <w:rsid w:val="1077D1FB"/>
    <w:rsid w:val="107EA094"/>
    <w:rsid w:val="10812014"/>
    <w:rsid w:val="10AC1F63"/>
    <w:rsid w:val="10AD5448"/>
    <w:rsid w:val="10D20504"/>
    <w:rsid w:val="10F31485"/>
    <w:rsid w:val="110519A5"/>
    <w:rsid w:val="11153292"/>
    <w:rsid w:val="112AD41C"/>
    <w:rsid w:val="116B8A58"/>
    <w:rsid w:val="116C358A"/>
    <w:rsid w:val="117504EF"/>
    <w:rsid w:val="11862623"/>
    <w:rsid w:val="1187E9F5"/>
    <w:rsid w:val="1198923D"/>
    <w:rsid w:val="119CDF21"/>
    <w:rsid w:val="11B54E12"/>
    <w:rsid w:val="11C541F3"/>
    <w:rsid w:val="11C58FBF"/>
    <w:rsid w:val="120339D4"/>
    <w:rsid w:val="12035288"/>
    <w:rsid w:val="120EF361"/>
    <w:rsid w:val="1218AAE6"/>
    <w:rsid w:val="12460D41"/>
    <w:rsid w:val="1255D09C"/>
    <w:rsid w:val="125AF6F8"/>
    <w:rsid w:val="126939E0"/>
    <w:rsid w:val="12694AAB"/>
    <w:rsid w:val="126DFCDA"/>
    <w:rsid w:val="128794CC"/>
    <w:rsid w:val="12A625EB"/>
    <w:rsid w:val="12B8E5E3"/>
    <w:rsid w:val="12C8BACE"/>
    <w:rsid w:val="12E007AA"/>
    <w:rsid w:val="12EBFBCC"/>
    <w:rsid w:val="130E1DBD"/>
    <w:rsid w:val="131F1AA5"/>
    <w:rsid w:val="132F7AA6"/>
    <w:rsid w:val="134CCBC0"/>
    <w:rsid w:val="135928C1"/>
    <w:rsid w:val="1363FD29"/>
    <w:rsid w:val="1371C644"/>
    <w:rsid w:val="137B1FF5"/>
    <w:rsid w:val="137D6162"/>
    <w:rsid w:val="137FE552"/>
    <w:rsid w:val="139AA87D"/>
    <w:rsid w:val="139E31BE"/>
    <w:rsid w:val="13A70D74"/>
    <w:rsid w:val="13ABB4DF"/>
    <w:rsid w:val="13B1326A"/>
    <w:rsid w:val="13D25872"/>
    <w:rsid w:val="13E526E0"/>
    <w:rsid w:val="140F2FD9"/>
    <w:rsid w:val="1448D5D2"/>
    <w:rsid w:val="144EAE1E"/>
    <w:rsid w:val="14518CA6"/>
    <w:rsid w:val="1476E1BA"/>
    <w:rsid w:val="148A2373"/>
    <w:rsid w:val="14CAF3D8"/>
    <w:rsid w:val="14CB8F8A"/>
    <w:rsid w:val="14D545FB"/>
    <w:rsid w:val="14DB14E2"/>
    <w:rsid w:val="14DFDA3F"/>
    <w:rsid w:val="153311B3"/>
    <w:rsid w:val="154DF66C"/>
    <w:rsid w:val="156715CC"/>
    <w:rsid w:val="156D02C0"/>
    <w:rsid w:val="157C19E1"/>
    <w:rsid w:val="1581F45B"/>
    <w:rsid w:val="158B5385"/>
    <w:rsid w:val="158C1971"/>
    <w:rsid w:val="159957F6"/>
    <w:rsid w:val="15ABE57D"/>
    <w:rsid w:val="15B20108"/>
    <w:rsid w:val="15BEFDC4"/>
    <w:rsid w:val="15CC9AB8"/>
    <w:rsid w:val="15D2E31F"/>
    <w:rsid w:val="15D33376"/>
    <w:rsid w:val="15E70EAB"/>
    <w:rsid w:val="15FAA625"/>
    <w:rsid w:val="1606CFA4"/>
    <w:rsid w:val="160A14DD"/>
    <w:rsid w:val="160C31B0"/>
    <w:rsid w:val="1615F9D3"/>
    <w:rsid w:val="16487612"/>
    <w:rsid w:val="1648A3D4"/>
    <w:rsid w:val="165D204E"/>
    <w:rsid w:val="165EBC4E"/>
    <w:rsid w:val="166FC6A9"/>
    <w:rsid w:val="167A64A8"/>
    <w:rsid w:val="167CA7BA"/>
    <w:rsid w:val="16928351"/>
    <w:rsid w:val="16B2FACC"/>
    <w:rsid w:val="16B4BD98"/>
    <w:rsid w:val="16B9B123"/>
    <w:rsid w:val="16BD488B"/>
    <w:rsid w:val="16CE02CE"/>
    <w:rsid w:val="16DC419F"/>
    <w:rsid w:val="16DF68CD"/>
    <w:rsid w:val="16F5D38F"/>
    <w:rsid w:val="16FA0EAF"/>
    <w:rsid w:val="16FE23E2"/>
    <w:rsid w:val="170C9D09"/>
    <w:rsid w:val="1721B9DB"/>
    <w:rsid w:val="1739D305"/>
    <w:rsid w:val="173EAE24"/>
    <w:rsid w:val="17709C83"/>
    <w:rsid w:val="17789EF6"/>
    <w:rsid w:val="177A2AD9"/>
    <w:rsid w:val="178A8A43"/>
    <w:rsid w:val="1794812C"/>
    <w:rsid w:val="179A5AD4"/>
    <w:rsid w:val="17A1316D"/>
    <w:rsid w:val="17A28F7A"/>
    <w:rsid w:val="17A62EA4"/>
    <w:rsid w:val="17B35655"/>
    <w:rsid w:val="17B5B435"/>
    <w:rsid w:val="17CAD993"/>
    <w:rsid w:val="17DA06FC"/>
    <w:rsid w:val="17F0807D"/>
    <w:rsid w:val="17F50B05"/>
    <w:rsid w:val="1814E40F"/>
    <w:rsid w:val="181CA00B"/>
    <w:rsid w:val="1825240E"/>
    <w:rsid w:val="184D6F61"/>
    <w:rsid w:val="18592827"/>
    <w:rsid w:val="186643C7"/>
    <w:rsid w:val="1886869F"/>
    <w:rsid w:val="18987A40"/>
    <w:rsid w:val="189C3EDB"/>
    <w:rsid w:val="18AA6DF8"/>
    <w:rsid w:val="18B02436"/>
    <w:rsid w:val="18B2BE84"/>
    <w:rsid w:val="18B93FB1"/>
    <w:rsid w:val="18DEEF01"/>
    <w:rsid w:val="18EB1A93"/>
    <w:rsid w:val="18EC9AE3"/>
    <w:rsid w:val="18F24273"/>
    <w:rsid w:val="191A4DBC"/>
    <w:rsid w:val="19288E41"/>
    <w:rsid w:val="194285E1"/>
    <w:rsid w:val="19454DE7"/>
    <w:rsid w:val="195D0F04"/>
    <w:rsid w:val="19644D0F"/>
    <w:rsid w:val="19857B36"/>
    <w:rsid w:val="199519C4"/>
    <w:rsid w:val="19AC7CDE"/>
    <w:rsid w:val="19B47A52"/>
    <w:rsid w:val="19D096E3"/>
    <w:rsid w:val="19DDB339"/>
    <w:rsid w:val="19DEA554"/>
    <w:rsid w:val="19E70185"/>
    <w:rsid w:val="19F7990B"/>
    <w:rsid w:val="1A09B6F6"/>
    <w:rsid w:val="1A103BBE"/>
    <w:rsid w:val="1A32A4FC"/>
    <w:rsid w:val="1A3321A6"/>
    <w:rsid w:val="1A37B7CE"/>
    <w:rsid w:val="1A4A6DF6"/>
    <w:rsid w:val="1A5F51F0"/>
    <w:rsid w:val="1A749BFB"/>
    <w:rsid w:val="1A7DEA47"/>
    <w:rsid w:val="1A9ECC5E"/>
    <w:rsid w:val="1A9F8A00"/>
    <w:rsid w:val="1AA57026"/>
    <w:rsid w:val="1AC039C2"/>
    <w:rsid w:val="1ACC1957"/>
    <w:rsid w:val="1AD4E55B"/>
    <w:rsid w:val="1AD5814F"/>
    <w:rsid w:val="1AD835CA"/>
    <w:rsid w:val="1B0A3308"/>
    <w:rsid w:val="1B0EB266"/>
    <w:rsid w:val="1B242DD0"/>
    <w:rsid w:val="1B290FA8"/>
    <w:rsid w:val="1B387C20"/>
    <w:rsid w:val="1B4F5ECA"/>
    <w:rsid w:val="1B51B70C"/>
    <w:rsid w:val="1B5C95A7"/>
    <w:rsid w:val="1B7B061E"/>
    <w:rsid w:val="1BB80AA9"/>
    <w:rsid w:val="1BBB5F89"/>
    <w:rsid w:val="1BBC9BB3"/>
    <w:rsid w:val="1BC53AFD"/>
    <w:rsid w:val="1BCB3361"/>
    <w:rsid w:val="1BF96E37"/>
    <w:rsid w:val="1C0CF88A"/>
    <w:rsid w:val="1C2498B0"/>
    <w:rsid w:val="1C350B34"/>
    <w:rsid w:val="1C3CA685"/>
    <w:rsid w:val="1C477E3E"/>
    <w:rsid w:val="1C54FCD4"/>
    <w:rsid w:val="1C565F6A"/>
    <w:rsid w:val="1C58724C"/>
    <w:rsid w:val="1C5BCE72"/>
    <w:rsid w:val="1C60CC70"/>
    <w:rsid w:val="1C61B187"/>
    <w:rsid w:val="1C664413"/>
    <w:rsid w:val="1C6D1AAC"/>
    <w:rsid w:val="1C6D1F76"/>
    <w:rsid w:val="1C890495"/>
    <w:rsid w:val="1C91A08C"/>
    <w:rsid w:val="1CAA5BDB"/>
    <w:rsid w:val="1CAB9511"/>
    <w:rsid w:val="1CB0A7E3"/>
    <w:rsid w:val="1CC0A932"/>
    <w:rsid w:val="1CC115D0"/>
    <w:rsid w:val="1CC455CA"/>
    <w:rsid w:val="1CD913E0"/>
    <w:rsid w:val="1CDE77A5"/>
    <w:rsid w:val="1CE11318"/>
    <w:rsid w:val="1CE87B97"/>
    <w:rsid w:val="1D11678C"/>
    <w:rsid w:val="1D38026F"/>
    <w:rsid w:val="1D44A27F"/>
    <w:rsid w:val="1D44B552"/>
    <w:rsid w:val="1D4B8DBA"/>
    <w:rsid w:val="1D4D80BA"/>
    <w:rsid w:val="1D51B4D9"/>
    <w:rsid w:val="1D5FE085"/>
    <w:rsid w:val="1D756067"/>
    <w:rsid w:val="1D7763DC"/>
    <w:rsid w:val="1DA1400C"/>
    <w:rsid w:val="1DA30127"/>
    <w:rsid w:val="1DD06DF5"/>
    <w:rsid w:val="1DD68523"/>
    <w:rsid w:val="1DE0A9F6"/>
    <w:rsid w:val="1DE2C5F4"/>
    <w:rsid w:val="1DE65C33"/>
    <w:rsid w:val="1DEA0134"/>
    <w:rsid w:val="1DEBE91D"/>
    <w:rsid w:val="1E167D69"/>
    <w:rsid w:val="1E1C0C14"/>
    <w:rsid w:val="1E1C71B6"/>
    <w:rsid w:val="1E1D1491"/>
    <w:rsid w:val="1E32B5CE"/>
    <w:rsid w:val="1E3C6558"/>
    <w:rsid w:val="1E4296C5"/>
    <w:rsid w:val="1E7CCC06"/>
    <w:rsid w:val="1E814E4B"/>
    <w:rsid w:val="1E889323"/>
    <w:rsid w:val="1E9AECB4"/>
    <w:rsid w:val="1EA99BBB"/>
    <w:rsid w:val="1EB26977"/>
    <w:rsid w:val="1EB2EAC4"/>
    <w:rsid w:val="1EBF82A6"/>
    <w:rsid w:val="1EC4E4F0"/>
    <w:rsid w:val="1ECA62E4"/>
    <w:rsid w:val="1EE0EA5A"/>
    <w:rsid w:val="1F1E8C36"/>
    <w:rsid w:val="1F574C89"/>
    <w:rsid w:val="1F84CDBB"/>
    <w:rsid w:val="1F8B9311"/>
    <w:rsid w:val="1F99076C"/>
    <w:rsid w:val="1F9D4D5D"/>
    <w:rsid w:val="1FABFA2A"/>
    <w:rsid w:val="1FC07AA0"/>
    <w:rsid w:val="1FC5D720"/>
    <w:rsid w:val="1FD24978"/>
    <w:rsid w:val="1FD2A97C"/>
    <w:rsid w:val="1FD32573"/>
    <w:rsid w:val="1FDC5B6F"/>
    <w:rsid w:val="1FDD2067"/>
    <w:rsid w:val="1FF57E07"/>
    <w:rsid w:val="2002527D"/>
    <w:rsid w:val="202928E1"/>
    <w:rsid w:val="203065BD"/>
    <w:rsid w:val="203494A7"/>
    <w:rsid w:val="203F3921"/>
    <w:rsid w:val="2043FA05"/>
    <w:rsid w:val="206772C2"/>
    <w:rsid w:val="207A086A"/>
    <w:rsid w:val="209476D4"/>
    <w:rsid w:val="20C37812"/>
    <w:rsid w:val="20C83D6F"/>
    <w:rsid w:val="20E7EBDC"/>
    <w:rsid w:val="20FCC9E0"/>
    <w:rsid w:val="2108E01B"/>
    <w:rsid w:val="211817C2"/>
    <w:rsid w:val="211A33E5"/>
    <w:rsid w:val="211A66B6"/>
    <w:rsid w:val="211AB08F"/>
    <w:rsid w:val="211B0A9E"/>
    <w:rsid w:val="2126C8A2"/>
    <w:rsid w:val="212B80CA"/>
    <w:rsid w:val="212D7EFD"/>
    <w:rsid w:val="213EBF2D"/>
    <w:rsid w:val="214D7088"/>
    <w:rsid w:val="215BA1F8"/>
    <w:rsid w:val="216D5680"/>
    <w:rsid w:val="2199E4C3"/>
    <w:rsid w:val="21A104FD"/>
    <w:rsid w:val="21B6F74B"/>
    <w:rsid w:val="21F49015"/>
    <w:rsid w:val="21F6EEF2"/>
    <w:rsid w:val="21FFA4B6"/>
    <w:rsid w:val="2203EBAE"/>
    <w:rsid w:val="220BF9F7"/>
    <w:rsid w:val="220C4873"/>
    <w:rsid w:val="22109E91"/>
    <w:rsid w:val="222183FC"/>
    <w:rsid w:val="22236CFF"/>
    <w:rsid w:val="222BC9C4"/>
    <w:rsid w:val="22359785"/>
    <w:rsid w:val="223B383E"/>
    <w:rsid w:val="224550D3"/>
    <w:rsid w:val="22458584"/>
    <w:rsid w:val="22580772"/>
    <w:rsid w:val="227E0FB1"/>
    <w:rsid w:val="228E847E"/>
    <w:rsid w:val="229F3009"/>
    <w:rsid w:val="229FA69C"/>
    <w:rsid w:val="22A26E62"/>
    <w:rsid w:val="22A96966"/>
    <w:rsid w:val="22B7DCBC"/>
    <w:rsid w:val="22C060BF"/>
    <w:rsid w:val="22CD75FC"/>
    <w:rsid w:val="22D4B590"/>
    <w:rsid w:val="22E18AD7"/>
    <w:rsid w:val="22E7F553"/>
    <w:rsid w:val="230FF9BC"/>
    <w:rsid w:val="2324144E"/>
    <w:rsid w:val="23338A15"/>
    <w:rsid w:val="233A2313"/>
    <w:rsid w:val="2368C42F"/>
    <w:rsid w:val="236A878A"/>
    <w:rsid w:val="23765000"/>
    <w:rsid w:val="2376829B"/>
    <w:rsid w:val="237C3092"/>
    <w:rsid w:val="239E2887"/>
    <w:rsid w:val="23B2D81C"/>
    <w:rsid w:val="23BB2DFE"/>
    <w:rsid w:val="23D01833"/>
    <w:rsid w:val="23D89C36"/>
    <w:rsid w:val="23E61F57"/>
    <w:rsid w:val="23EAA13C"/>
    <w:rsid w:val="23ED621B"/>
    <w:rsid w:val="23FD15B5"/>
    <w:rsid w:val="23FF89C0"/>
    <w:rsid w:val="2406FB79"/>
    <w:rsid w:val="2408C1E1"/>
    <w:rsid w:val="2411DB13"/>
    <w:rsid w:val="241BAFB5"/>
    <w:rsid w:val="242499BC"/>
    <w:rsid w:val="242CE1E2"/>
    <w:rsid w:val="24319678"/>
    <w:rsid w:val="243D72EA"/>
    <w:rsid w:val="2442BA47"/>
    <w:rsid w:val="2463EBD5"/>
    <w:rsid w:val="248E8B77"/>
    <w:rsid w:val="249E7F51"/>
    <w:rsid w:val="24A611D6"/>
    <w:rsid w:val="24A73287"/>
    <w:rsid w:val="24BAE7B8"/>
    <w:rsid w:val="24C97CA5"/>
    <w:rsid w:val="24CAE1BD"/>
    <w:rsid w:val="24CB903D"/>
    <w:rsid w:val="24DE53B2"/>
    <w:rsid w:val="24E7619E"/>
    <w:rsid w:val="24E7E269"/>
    <w:rsid w:val="24EA0E82"/>
    <w:rsid w:val="24EEC26B"/>
    <w:rsid w:val="24F0299A"/>
    <w:rsid w:val="24FADF2F"/>
    <w:rsid w:val="2521EDDF"/>
    <w:rsid w:val="2537632E"/>
    <w:rsid w:val="2550C5CD"/>
    <w:rsid w:val="25551535"/>
    <w:rsid w:val="2560E68D"/>
    <w:rsid w:val="2564EA93"/>
    <w:rsid w:val="2580F63A"/>
    <w:rsid w:val="25827B9D"/>
    <w:rsid w:val="258BABFA"/>
    <w:rsid w:val="259C7029"/>
    <w:rsid w:val="25A1A2DF"/>
    <w:rsid w:val="25ABF000"/>
    <w:rsid w:val="25C11E3B"/>
    <w:rsid w:val="25E57FBE"/>
    <w:rsid w:val="25EC6B80"/>
    <w:rsid w:val="25ECF3BD"/>
    <w:rsid w:val="25FD9794"/>
    <w:rsid w:val="2606434C"/>
    <w:rsid w:val="260F1C1D"/>
    <w:rsid w:val="26131AA6"/>
    <w:rsid w:val="2618203F"/>
    <w:rsid w:val="2631AA37"/>
    <w:rsid w:val="265D6746"/>
    <w:rsid w:val="267E916B"/>
    <w:rsid w:val="268C0968"/>
    <w:rsid w:val="26A4EA77"/>
    <w:rsid w:val="26A81E65"/>
    <w:rsid w:val="26B5C7EF"/>
    <w:rsid w:val="26C1C3E5"/>
    <w:rsid w:val="26E98757"/>
    <w:rsid w:val="26EA0F97"/>
    <w:rsid w:val="2707CF20"/>
    <w:rsid w:val="270A0ABC"/>
    <w:rsid w:val="2710B7CA"/>
    <w:rsid w:val="271850AD"/>
    <w:rsid w:val="271A9B8C"/>
    <w:rsid w:val="274FC665"/>
    <w:rsid w:val="2752AC8E"/>
    <w:rsid w:val="275AAAA2"/>
    <w:rsid w:val="275ECA34"/>
    <w:rsid w:val="276E7F81"/>
    <w:rsid w:val="278C49FE"/>
    <w:rsid w:val="278CCBF4"/>
    <w:rsid w:val="279812C7"/>
    <w:rsid w:val="27D36FB9"/>
    <w:rsid w:val="27DB9BE5"/>
    <w:rsid w:val="27DCB566"/>
    <w:rsid w:val="27ECF18A"/>
    <w:rsid w:val="27EDC843"/>
    <w:rsid w:val="27F01EAD"/>
    <w:rsid w:val="280AB570"/>
    <w:rsid w:val="281241C2"/>
    <w:rsid w:val="2824DBD3"/>
    <w:rsid w:val="283C7000"/>
    <w:rsid w:val="28588937"/>
    <w:rsid w:val="285F8E86"/>
    <w:rsid w:val="28637C1D"/>
    <w:rsid w:val="2864B4E2"/>
    <w:rsid w:val="28680AEB"/>
    <w:rsid w:val="28A69F71"/>
    <w:rsid w:val="28C068E3"/>
    <w:rsid w:val="28C35E3B"/>
    <w:rsid w:val="28DB57A8"/>
    <w:rsid w:val="29157DC7"/>
    <w:rsid w:val="2917DBA7"/>
    <w:rsid w:val="292374CA"/>
    <w:rsid w:val="292FE158"/>
    <w:rsid w:val="29321FEB"/>
    <w:rsid w:val="2935A71D"/>
    <w:rsid w:val="2938A118"/>
    <w:rsid w:val="2939848E"/>
    <w:rsid w:val="296424B5"/>
    <w:rsid w:val="296F5330"/>
    <w:rsid w:val="296FF39D"/>
    <w:rsid w:val="29975257"/>
    <w:rsid w:val="2997797C"/>
    <w:rsid w:val="29B2E326"/>
    <w:rsid w:val="29B572C9"/>
    <w:rsid w:val="29C94F5F"/>
    <w:rsid w:val="29D1E341"/>
    <w:rsid w:val="29D36A86"/>
    <w:rsid w:val="29DC165C"/>
    <w:rsid w:val="29F0D337"/>
    <w:rsid w:val="2A0C9AB9"/>
    <w:rsid w:val="2A115E14"/>
    <w:rsid w:val="2A1C2553"/>
    <w:rsid w:val="2A30E167"/>
    <w:rsid w:val="2A3C0B4B"/>
    <w:rsid w:val="2A6DE62D"/>
    <w:rsid w:val="2A743280"/>
    <w:rsid w:val="2A833368"/>
    <w:rsid w:val="2ACB212B"/>
    <w:rsid w:val="2AD518AC"/>
    <w:rsid w:val="2AD54D74"/>
    <w:rsid w:val="2AE99829"/>
    <w:rsid w:val="2AFF1216"/>
    <w:rsid w:val="2B11E28E"/>
    <w:rsid w:val="2B24D630"/>
    <w:rsid w:val="2B49CA81"/>
    <w:rsid w:val="2B525A39"/>
    <w:rsid w:val="2B5F2402"/>
    <w:rsid w:val="2B646431"/>
    <w:rsid w:val="2B80B85F"/>
    <w:rsid w:val="2B8C9F26"/>
    <w:rsid w:val="2B982C62"/>
    <w:rsid w:val="2BA891FC"/>
    <w:rsid w:val="2BB5ED40"/>
    <w:rsid w:val="2BC39C42"/>
    <w:rsid w:val="2BC8BBAE"/>
    <w:rsid w:val="2BD3B85F"/>
    <w:rsid w:val="2BD47690"/>
    <w:rsid w:val="2BD4CC81"/>
    <w:rsid w:val="2BD5F3FB"/>
    <w:rsid w:val="2BE653FC"/>
    <w:rsid w:val="2BF1F495"/>
    <w:rsid w:val="2BF3BE79"/>
    <w:rsid w:val="2BFB42E1"/>
    <w:rsid w:val="2BFF7D5B"/>
    <w:rsid w:val="2C12F05D"/>
    <w:rsid w:val="2C162069"/>
    <w:rsid w:val="2C1CFFEF"/>
    <w:rsid w:val="2C321A0E"/>
    <w:rsid w:val="2C3F17BB"/>
    <w:rsid w:val="2C4A94C8"/>
    <w:rsid w:val="2C58333D"/>
    <w:rsid w:val="2C631A1A"/>
    <w:rsid w:val="2C7C0FA6"/>
    <w:rsid w:val="2C87273B"/>
    <w:rsid w:val="2C88E7EF"/>
    <w:rsid w:val="2C8D1135"/>
    <w:rsid w:val="2C922BA3"/>
    <w:rsid w:val="2C959DC1"/>
    <w:rsid w:val="2CADA719"/>
    <w:rsid w:val="2CB77078"/>
    <w:rsid w:val="2CBA4F1B"/>
    <w:rsid w:val="2CC4286D"/>
    <w:rsid w:val="2CC70675"/>
    <w:rsid w:val="2CC86146"/>
    <w:rsid w:val="2CCDD446"/>
    <w:rsid w:val="2CDE2B01"/>
    <w:rsid w:val="2CE3E5A6"/>
    <w:rsid w:val="2D00A390"/>
    <w:rsid w:val="2D2A9C69"/>
    <w:rsid w:val="2D3170A4"/>
    <w:rsid w:val="2D45D9C8"/>
    <w:rsid w:val="2D4FF144"/>
    <w:rsid w:val="2D587547"/>
    <w:rsid w:val="2D59AA2C"/>
    <w:rsid w:val="2D635C9E"/>
    <w:rsid w:val="2D761FE0"/>
    <w:rsid w:val="2D7F1FCA"/>
    <w:rsid w:val="2D91EE38"/>
    <w:rsid w:val="2D9E1022"/>
    <w:rsid w:val="2D9F8632"/>
    <w:rsid w:val="2DA418BE"/>
    <w:rsid w:val="2DAFCADF"/>
    <w:rsid w:val="2DB677ED"/>
    <w:rsid w:val="2DDD556B"/>
    <w:rsid w:val="2DEB7E18"/>
    <w:rsid w:val="2DEC90EA"/>
    <w:rsid w:val="2DF624D7"/>
    <w:rsid w:val="2DF631B2"/>
    <w:rsid w:val="2DFCECA0"/>
    <w:rsid w:val="2E0521CF"/>
    <w:rsid w:val="2E10958C"/>
    <w:rsid w:val="2E1A2DF1"/>
    <w:rsid w:val="2E224C5A"/>
    <w:rsid w:val="2E6308AC"/>
    <w:rsid w:val="2E72CABA"/>
    <w:rsid w:val="2E8A3EBD"/>
    <w:rsid w:val="2EAC77AE"/>
    <w:rsid w:val="2EBC661E"/>
    <w:rsid w:val="2ED5572C"/>
    <w:rsid w:val="2ED9860C"/>
    <w:rsid w:val="2F0D3016"/>
    <w:rsid w:val="2F29C828"/>
    <w:rsid w:val="2F347173"/>
    <w:rsid w:val="2F3B1AAC"/>
    <w:rsid w:val="2F3F470F"/>
    <w:rsid w:val="2F4403E5"/>
    <w:rsid w:val="2F44336B"/>
    <w:rsid w:val="2F4B7A7D"/>
    <w:rsid w:val="2F4C43CB"/>
    <w:rsid w:val="2F54A090"/>
    <w:rsid w:val="2F562C30"/>
    <w:rsid w:val="2F57734D"/>
    <w:rsid w:val="2F57B4A8"/>
    <w:rsid w:val="2F58EC37"/>
    <w:rsid w:val="2F665044"/>
    <w:rsid w:val="2F7AC691"/>
    <w:rsid w:val="2F8E2E5A"/>
    <w:rsid w:val="2FAE6E61"/>
    <w:rsid w:val="2FB543CA"/>
    <w:rsid w:val="2FB63AC8"/>
    <w:rsid w:val="2FB96E64"/>
    <w:rsid w:val="2FD19A7D"/>
    <w:rsid w:val="2FDDA994"/>
    <w:rsid w:val="2FDE0BA1"/>
    <w:rsid w:val="2FE25204"/>
    <w:rsid w:val="2FE3E5FD"/>
    <w:rsid w:val="30044A39"/>
    <w:rsid w:val="30239875"/>
    <w:rsid w:val="3026D66A"/>
    <w:rsid w:val="302775D9"/>
    <w:rsid w:val="3031042F"/>
    <w:rsid w:val="304A8E92"/>
    <w:rsid w:val="304FADFE"/>
    <w:rsid w:val="3061D27A"/>
    <w:rsid w:val="306DCD4A"/>
    <w:rsid w:val="30994656"/>
    <w:rsid w:val="309B7A27"/>
    <w:rsid w:val="30A0C244"/>
    <w:rsid w:val="30A5E467"/>
    <w:rsid w:val="30BF8499"/>
    <w:rsid w:val="30CA518C"/>
    <w:rsid w:val="30D2C1DB"/>
    <w:rsid w:val="30DBA0CD"/>
    <w:rsid w:val="30FE034D"/>
    <w:rsid w:val="3110F5FC"/>
    <w:rsid w:val="3115B946"/>
    <w:rsid w:val="31191DF3"/>
    <w:rsid w:val="3132CD92"/>
    <w:rsid w:val="3133B7A3"/>
    <w:rsid w:val="3137E49B"/>
    <w:rsid w:val="313FFFEA"/>
    <w:rsid w:val="3140A3D2"/>
    <w:rsid w:val="315119FE"/>
    <w:rsid w:val="3173FA48"/>
    <w:rsid w:val="31909677"/>
    <w:rsid w:val="319D173B"/>
    <w:rsid w:val="31C7AFDA"/>
    <w:rsid w:val="31D6E394"/>
    <w:rsid w:val="31DA5461"/>
    <w:rsid w:val="31E94A1D"/>
    <w:rsid w:val="31F0EB6A"/>
    <w:rsid w:val="31F44043"/>
    <w:rsid w:val="31F916BB"/>
    <w:rsid w:val="31FA3773"/>
    <w:rsid w:val="320F4ACC"/>
    <w:rsid w:val="3217CA0F"/>
    <w:rsid w:val="3225936B"/>
    <w:rsid w:val="3246646F"/>
    <w:rsid w:val="3246B2EB"/>
    <w:rsid w:val="32483E8B"/>
    <w:rsid w:val="324B0909"/>
    <w:rsid w:val="326B6F71"/>
    <w:rsid w:val="32751131"/>
    <w:rsid w:val="3279DC8E"/>
    <w:rsid w:val="32805678"/>
    <w:rsid w:val="32875762"/>
    <w:rsid w:val="328FAA8C"/>
    <w:rsid w:val="32C480CB"/>
    <w:rsid w:val="32C946B8"/>
    <w:rsid w:val="32CAD3BA"/>
    <w:rsid w:val="32CCF04E"/>
    <w:rsid w:val="32D2C244"/>
    <w:rsid w:val="32F65B64"/>
    <w:rsid w:val="32FACB37"/>
    <w:rsid w:val="3307C61B"/>
    <w:rsid w:val="3329E2B5"/>
    <w:rsid w:val="3334C39D"/>
    <w:rsid w:val="335627FC"/>
    <w:rsid w:val="335B72C3"/>
    <w:rsid w:val="335BA594"/>
    <w:rsid w:val="3364CB0A"/>
    <w:rsid w:val="339CE2BF"/>
    <w:rsid w:val="33AEC82F"/>
    <w:rsid w:val="33B0BA78"/>
    <w:rsid w:val="33B7DAB8"/>
    <w:rsid w:val="33BE158A"/>
    <w:rsid w:val="33C067AD"/>
    <w:rsid w:val="33D9CF19"/>
    <w:rsid w:val="33DB1101"/>
    <w:rsid w:val="33FC0202"/>
    <w:rsid w:val="33FF6A4F"/>
    <w:rsid w:val="34191B98"/>
    <w:rsid w:val="342500DA"/>
    <w:rsid w:val="34296C84"/>
    <w:rsid w:val="343E8587"/>
    <w:rsid w:val="34400B20"/>
    <w:rsid w:val="344D5A1E"/>
    <w:rsid w:val="344E85BE"/>
    <w:rsid w:val="345609DA"/>
    <w:rsid w:val="34590FE7"/>
    <w:rsid w:val="3459922F"/>
    <w:rsid w:val="345D9FF3"/>
    <w:rsid w:val="346B9B09"/>
    <w:rsid w:val="34700F2D"/>
    <w:rsid w:val="3477530D"/>
    <w:rsid w:val="34865CE0"/>
    <w:rsid w:val="3490C4B8"/>
    <w:rsid w:val="34A1BC8E"/>
    <w:rsid w:val="34A4AA9E"/>
    <w:rsid w:val="34A8A268"/>
    <w:rsid w:val="34BB9A81"/>
    <w:rsid w:val="34C09401"/>
    <w:rsid w:val="34C8F5EF"/>
    <w:rsid w:val="34D4A21B"/>
    <w:rsid w:val="34EAA844"/>
    <w:rsid w:val="34F2BFA9"/>
    <w:rsid w:val="3503E673"/>
    <w:rsid w:val="3523F402"/>
    <w:rsid w:val="35284A20"/>
    <w:rsid w:val="352F5D2B"/>
    <w:rsid w:val="354C9268"/>
    <w:rsid w:val="354E3568"/>
    <w:rsid w:val="3555688F"/>
    <w:rsid w:val="355A5E60"/>
    <w:rsid w:val="3563DB4B"/>
    <w:rsid w:val="357B93B0"/>
    <w:rsid w:val="357E9230"/>
    <w:rsid w:val="35A03526"/>
    <w:rsid w:val="35C145A0"/>
    <w:rsid w:val="35E50732"/>
    <w:rsid w:val="35E6DE51"/>
    <w:rsid w:val="35F9D136"/>
    <w:rsid w:val="35FCE04C"/>
    <w:rsid w:val="36034368"/>
    <w:rsid w:val="3604F83A"/>
    <w:rsid w:val="360C1067"/>
    <w:rsid w:val="360DD902"/>
    <w:rsid w:val="3613CACE"/>
    <w:rsid w:val="3619E204"/>
    <w:rsid w:val="361E7F8A"/>
    <w:rsid w:val="3620AFD5"/>
    <w:rsid w:val="3623AFC5"/>
    <w:rsid w:val="3629FE21"/>
    <w:rsid w:val="362C9E64"/>
    <w:rsid w:val="363BC03A"/>
    <w:rsid w:val="36567906"/>
    <w:rsid w:val="366033C4"/>
    <w:rsid w:val="368ACEC3"/>
    <w:rsid w:val="368D3146"/>
    <w:rsid w:val="36967F92"/>
    <w:rsid w:val="369990C8"/>
    <w:rsid w:val="36C80CC6"/>
    <w:rsid w:val="36CD35FC"/>
    <w:rsid w:val="36EB4B27"/>
    <w:rsid w:val="37073305"/>
    <w:rsid w:val="3714C144"/>
    <w:rsid w:val="372424A0"/>
    <w:rsid w:val="37246E79"/>
    <w:rsid w:val="3724C888"/>
    <w:rsid w:val="372A402B"/>
    <w:rsid w:val="37373CE7"/>
    <w:rsid w:val="375EABBE"/>
    <w:rsid w:val="3769C41A"/>
    <w:rsid w:val="377FA2B3"/>
    <w:rsid w:val="37813C3A"/>
    <w:rsid w:val="3786EB1C"/>
    <w:rsid w:val="378B9DDB"/>
    <w:rsid w:val="379ADEA5"/>
    <w:rsid w:val="37A38FC1"/>
    <w:rsid w:val="37AB36C8"/>
    <w:rsid w:val="37B63E4A"/>
    <w:rsid w:val="37C5B981"/>
    <w:rsid w:val="37D0E852"/>
    <w:rsid w:val="37DE64BC"/>
    <w:rsid w:val="37E6CA2A"/>
    <w:rsid w:val="37F65257"/>
    <w:rsid w:val="380CBDAF"/>
    <w:rsid w:val="3815971E"/>
    <w:rsid w:val="3815B7E1"/>
    <w:rsid w:val="3816065D"/>
    <w:rsid w:val="381DA591"/>
    <w:rsid w:val="3832A9A6"/>
    <w:rsid w:val="383E1E30"/>
    <w:rsid w:val="384F0EBD"/>
    <w:rsid w:val="385B6791"/>
    <w:rsid w:val="386D2E4D"/>
    <w:rsid w:val="38822321"/>
    <w:rsid w:val="388881F6"/>
    <w:rsid w:val="38B461DE"/>
    <w:rsid w:val="38BCBE98"/>
    <w:rsid w:val="38BD908D"/>
    <w:rsid w:val="38C49AF8"/>
    <w:rsid w:val="38D7198D"/>
    <w:rsid w:val="38E8DBA6"/>
    <w:rsid w:val="38EB7B92"/>
    <w:rsid w:val="38FA0DDE"/>
    <w:rsid w:val="38FAC8C3"/>
    <w:rsid w:val="38FE455D"/>
    <w:rsid w:val="391113CB"/>
    <w:rsid w:val="3919435D"/>
    <w:rsid w:val="393924B2"/>
    <w:rsid w:val="3952461F"/>
    <w:rsid w:val="3953ECE4"/>
    <w:rsid w:val="39587EA9"/>
    <w:rsid w:val="395CF5CF"/>
    <w:rsid w:val="3963FDFD"/>
    <w:rsid w:val="396BE490"/>
    <w:rsid w:val="397093DD"/>
    <w:rsid w:val="39716AF7"/>
    <w:rsid w:val="3977E513"/>
    <w:rsid w:val="397A5168"/>
    <w:rsid w:val="3994DF2E"/>
    <w:rsid w:val="39AB09DC"/>
    <w:rsid w:val="39AB7237"/>
    <w:rsid w:val="39B5435E"/>
    <w:rsid w:val="39CC7AAF"/>
    <w:rsid w:val="39CEBDC1"/>
    <w:rsid w:val="39EFADF6"/>
    <w:rsid w:val="3A0165B7"/>
    <w:rsid w:val="3A10B963"/>
    <w:rsid w:val="3A128220"/>
    <w:rsid w:val="3A147727"/>
    <w:rsid w:val="3A32975E"/>
    <w:rsid w:val="3A545581"/>
    <w:rsid w:val="3A73CFE2"/>
    <w:rsid w:val="3A7675C3"/>
    <w:rsid w:val="3A7D1C2C"/>
    <w:rsid w:val="3A88ADCF"/>
    <w:rsid w:val="3AA7E4BE"/>
    <w:rsid w:val="3AB9C9CA"/>
    <w:rsid w:val="3AB9FBB6"/>
    <w:rsid w:val="3ABAA8B4"/>
    <w:rsid w:val="3AC2D34D"/>
    <w:rsid w:val="3AC51FA5"/>
    <w:rsid w:val="3AD49FA7"/>
    <w:rsid w:val="3AD4AA3F"/>
    <w:rsid w:val="3AD79F97"/>
    <w:rsid w:val="3AEC9914"/>
    <w:rsid w:val="3AEF3DEA"/>
    <w:rsid w:val="3AF34774"/>
    <w:rsid w:val="3AFCAF93"/>
    <w:rsid w:val="3AFD90AB"/>
    <w:rsid w:val="3B199696"/>
    <w:rsid w:val="3B24BC01"/>
    <w:rsid w:val="3B4D79EC"/>
    <w:rsid w:val="3B4DD11B"/>
    <w:rsid w:val="3B613724"/>
    <w:rsid w:val="3B6D47DF"/>
    <w:rsid w:val="3B773A15"/>
    <w:rsid w:val="3B7C6071"/>
    <w:rsid w:val="3B8C3987"/>
    <w:rsid w:val="3B94F4FC"/>
    <w:rsid w:val="3B9896FE"/>
    <w:rsid w:val="3B9BBC2A"/>
    <w:rsid w:val="3BB90FCB"/>
    <w:rsid w:val="3BD1D4F6"/>
    <w:rsid w:val="3BD4F9A9"/>
    <w:rsid w:val="3BEBD18A"/>
    <w:rsid w:val="3BEE54E2"/>
    <w:rsid w:val="3BEE6C0B"/>
    <w:rsid w:val="3C0E72D6"/>
    <w:rsid w:val="3C123FB6"/>
    <w:rsid w:val="3C1CC44C"/>
    <w:rsid w:val="3C1DAF49"/>
    <w:rsid w:val="3C21DE29"/>
    <w:rsid w:val="3C2B370D"/>
    <w:rsid w:val="3C44587A"/>
    <w:rsid w:val="3C4F20B5"/>
    <w:rsid w:val="3C64C4D7"/>
    <w:rsid w:val="3C7598F8"/>
    <w:rsid w:val="3C949BE8"/>
    <w:rsid w:val="3CA14ECB"/>
    <w:rsid w:val="3CA7291F"/>
    <w:rsid w:val="3CB452AF"/>
    <w:rsid w:val="3CEED9F3"/>
    <w:rsid w:val="3CF34541"/>
    <w:rsid w:val="3CFA4785"/>
    <w:rsid w:val="3CFE92E5"/>
    <w:rsid w:val="3D069059"/>
    <w:rsid w:val="3D08002C"/>
    <w:rsid w:val="3D0A5D4E"/>
    <w:rsid w:val="3D0EBFEB"/>
    <w:rsid w:val="3D113517"/>
    <w:rsid w:val="3D13C8A6"/>
    <w:rsid w:val="3D39178C"/>
    <w:rsid w:val="3D41A118"/>
    <w:rsid w:val="3D488CF6"/>
    <w:rsid w:val="3D4D8438"/>
    <w:rsid w:val="3D5AC6A9"/>
    <w:rsid w:val="3D5C4F66"/>
    <w:rsid w:val="3D5C7719"/>
    <w:rsid w:val="3D6251C5"/>
    <w:rsid w:val="3D696A39"/>
    <w:rsid w:val="3D6B4FBB"/>
    <w:rsid w:val="3D8537AD"/>
    <w:rsid w:val="3D8591BC"/>
    <w:rsid w:val="3D8E1B3D"/>
    <w:rsid w:val="3DB48101"/>
    <w:rsid w:val="3DD529CA"/>
    <w:rsid w:val="3DF7862D"/>
    <w:rsid w:val="3E07DCB6"/>
    <w:rsid w:val="3E16CE5C"/>
    <w:rsid w:val="3E217840"/>
    <w:rsid w:val="3E2CF456"/>
    <w:rsid w:val="3E3BA663"/>
    <w:rsid w:val="3E51DA4D"/>
    <w:rsid w:val="3E67325A"/>
    <w:rsid w:val="3E76CF91"/>
    <w:rsid w:val="3EAB2226"/>
    <w:rsid w:val="3EB82F18"/>
    <w:rsid w:val="3EB9D764"/>
    <w:rsid w:val="3EC4A935"/>
    <w:rsid w:val="3ECD1C25"/>
    <w:rsid w:val="3EF44C98"/>
    <w:rsid w:val="3EFDFF8B"/>
    <w:rsid w:val="3EFF767C"/>
    <w:rsid w:val="3F0A2B83"/>
    <w:rsid w:val="3F0FB6C0"/>
    <w:rsid w:val="3F56D732"/>
    <w:rsid w:val="3F57E55F"/>
    <w:rsid w:val="3F5880BA"/>
    <w:rsid w:val="3F589D70"/>
    <w:rsid w:val="3F5F0E91"/>
    <w:rsid w:val="3F604453"/>
    <w:rsid w:val="3F6CB6A3"/>
    <w:rsid w:val="3F789D3B"/>
    <w:rsid w:val="3F7D439C"/>
    <w:rsid w:val="3F8EBC8C"/>
    <w:rsid w:val="3FA388D6"/>
    <w:rsid w:val="3FD08658"/>
    <w:rsid w:val="3FE5D446"/>
    <w:rsid w:val="4000D246"/>
    <w:rsid w:val="400CD786"/>
    <w:rsid w:val="400FB038"/>
    <w:rsid w:val="4012F1AB"/>
    <w:rsid w:val="40186E9E"/>
    <w:rsid w:val="40191934"/>
    <w:rsid w:val="402B29E7"/>
    <w:rsid w:val="4033291F"/>
    <w:rsid w:val="403782BB"/>
    <w:rsid w:val="40732B5E"/>
    <w:rsid w:val="408A1876"/>
    <w:rsid w:val="409205FC"/>
    <w:rsid w:val="409E8019"/>
    <w:rsid w:val="40C0A278"/>
    <w:rsid w:val="40C1F940"/>
    <w:rsid w:val="40C92851"/>
    <w:rsid w:val="40DD0902"/>
    <w:rsid w:val="40E8F4A0"/>
    <w:rsid w:val="40F63442"/>
    <w:rsid w:val="4108AA6F"/>
    <w:rsid w:val="41193BEB"/>
    <w:rsid w:val="411DCF79"/>
    <w:rsid w:val="41222736"/>
    <w:rsid w:val="41289B2A"/>
    <w:rsid w:val="413E0984"/>
    <w:rsid w:val="414220F2"/>
    <w:rsid w:val="414DE339"/>
    <w:rsid w:val="41689370"/>
    <w:rsid w:val="416BD494"/>
    <w:rsid w:val="417F1792"/>
    <w:rsid w:val="4184CBD5"/>
    <w:rsid w:val="418A7649"/>
    <w:rsid w:val="418A9DB3"/>
    <w:rsid w:val="41A16804"/>
    <w:rsid w:val="41C57CDC"/>
    <w:rsid w:val="41E676DD"/>
    <w:rsid w:val="41E84661"/>
    <w:rsid w:val="41ED02BB"/>
    <w:rsid w:val="4212A8E9"/>
    <w:rsid w:val="421CFA38"/>
    <w:rsid w:val="4229FDD2"/>
    <w:rsid w:val="42481FD2"/>
    <w:rsid w:val="426C4C1F"/>
    <w:rsid w:val="426CD804"/>
    <w:rsid w:val="428FFB20"/>
    <w:rsid w:val="42B7C340"/>
    <w:rsid w:val="42C0D8DF"/>
    <w:rsid w:val="42CC5AB7"/>
    <w:rsid w:val="42CF3369"/>
    <w:rsid w:val="42D79CC8"/>
    <w:rsid w:val="42E398C6"/>
    <w:rsid w:val="42FFEF91"/>
    <w:rsid w:val="4324BF83"/>
    <w:rsid w:val="43383B14"/>
    <w:rsid w:val="435D8102"/>
    <w:rsid w:val="43652276"/>
    <w:rsid w:val="4372563E"/>
    <w:rsid w:val="4374F681"/>
    <w:rsid w:val="437A94F5"/>
    <w:rsid w:val="437B3EE8"/>
    <w:rsid w:val="4384C219"/>
    <w:rsid w:val="4388DDB4"/>
    <w:rsid w:val="43A5D8D6"/>
    <w:rsid w:val="43AC2821"/>
    <w:rsid w:val="43ACB20F"/>
    <w:rsid w:val="43B5EB6C"/>
    <w:rsid w:val="43B988C9"/>
    <w:rsid w:val="43CA20D3"/>
    <w:rsid w:val="43EAC0B6"/>
    <w:rsid w:val="43ED82D0"/>
    <w:rsid w:val="4412DBC8"/>
    <w:rsid w:val="44158E19"/>
    <w:rsid w:val="4446AEE8"/>
    <w:rsid w:val="4452B3EF"/>
    <w:rsid w:val="445AA5CB"/>
    <w:rsid w:val="446C7CBD"/>
    <w:rsid w:val="44729848"/>
    <w:rsid w:val="447A7598"/>
    <w:rsid w:val="44877F09"/>
    <w:rsid w:val="44A0557B"/>
    <w:rsid w:val="44B030E6"/>
    <w:rsid w:val="44B16914"/>
    <w:rsid w:val="44E11221"/>
    <w:rsid w:val="44E26AE4"/>
    <w:rsid w:val="44E30B94"/>
    <w:rsid w:val="44E343F6"/>
    <w:rsid w:val="44FED3E7"/>
    <w:rsid w:val="45177215"/>
    <w:rsid w:val="453AFBE8"/>
    <w:rsid w:val="454904F9"/>
    <w:rsid w:val="454BDE32"/>
    <w:rsid w:val="455E0FFE"/>
    <w:rsid w:val="455E5E7A"/>
    <w:rsid w:val="4562B498"/>
    <w:rsid w:val="456846DF"/>
    <w:rsid w:val="456FDC58"/>
    <w:rsid w:val="457717C1"/>
    <w:rsid w:val="4578363E"/>
    <w:rsid w:val="457C6827"/>
    <w:rsid w:val="457F36A4"/>
    <w:rsid w:val="45BAEA2F"/>
    <w:rsid w:val="45C0EA39"/>
    <w:rsid w:val="45DDE2BA"/>
    <w:rsid w:val="45FEBD30"/>
    <w:rsid w:val="46195CD2"/>
    <w:rsid w:val="461BFD4C"/>
    <w:rsid w:val="462A2343"/>
    <w:rsid w:val="463133C3"/>
    <w:rsid w:val="46342FDC"/>
    <w:rsid w:val="4636F8DB"/>
    <w:rsid w:val="464C6F2C"/>
    <w:rsid w:val="46596BE8"/>
    <w:rsid w:val="46660695"/>
    <w:rsid w:val="4678E230"/>
    <w:rsid w:val="467E3925"/>
    <w:rsid w:val="46B067F7"/>
    <w:rsid w:val="46B8EBFA"/>
    <w:rsid w:val="46CE15C7"/>
    <w:rsid w:val="46D83429"/>
    <w:rsid w:val="46E189F4"/>
    <w:rsid w:val="46E256F5"/>
    <w:rsid w:val="4705CA99"/>
    <w:rsid w:val="47203BF1"/>
    <w:rsid w:val="4720B2F2"/>
    <w:rsid w:val="4738C143"/>
    <w:rsid w:val="473D758D"/>
    <w:rsid w:val="47426F31"/>
    <w:rsid w:val="474F2BBC"/>
    <w:rsid w:val="474F59EA"/>
    <w:rsid w:val="475625B9"/>
    <w:rsid w:val="475D5701"/>
    <w:rsid w:val="47618470"/>
    <w:rsid w:val="47635309"/>
    <w:rsid w:val="4771C328"/>
    <w:rsid w:val="4776AFC3"/>
    <w:rsid w:val="47B601DC"/>
    <w:rsid w:val="47B9EF75"/>
    <w:rsid w:val="47FC2BD5"/>
    <w:rsid w:val="480077EF"/>
    <w:rsid w:val="4803C4CF"/>
    <w:rsid w:val="4813539B"/>
    <w:rsid w:val="481CF7C4"/>
    <w:rsid w:val="482F5155"/>
    <w:rsid w:val="48360AD3"/>
    <w:rsid w:val="484FA61D"/>
    <w:rsid w:val="485A2CF3"/>
    <w:rsid w:val="486AA445"/>
    <w:rsid w:val="487209AB"/>
    <w:rsid w:val="4873DAAB"/>
    <w:rsid w:val="48752D5B"/>
    <w:rsid w:val="48897935"/>
    <w:rsid w:val="488B278C"/>
    <w:rsid w:val="48A31967"/>
    <w:rsid w:val="48B2FC94"/>
    <w:rsid w:val="48B5A653"/>
    <w:rsid w:val="48C4B88E"/>
    <w:rsid w:val="48CDCB9B"/>
    <w:rsid w:val="48CFE5D1"/>
    <w:rsid w:val="48E2D007"/>
    <w:rsid w:val="48E3F94C"/>
    <w:rsid w:val="48EE5B6C"/>
    <w:rsid w:val="48F3B8E6"/>
    <w:rsid w:val="48F45D97"/>
    <w:rsid w:val="49048921"/>
    <w:rsid w:val="490C2CDB"/>
    <w:rsid w:val="491111C9"/>
    <w:rsid w:val="49118405"/>
    <w:rsid w:val="49174C71"/>
    <w:rsid w:val="49204454"/>
    <w:rsid w:val="4942AFBD"/>
    <w:rsid w:val="49514DF3"/>
    <w:rsid w:val="49660766"/>
    <w:rsid w:val="496A3646"/>
    <w:rsid w:val="498CB097"/>
    <w:rsid w:val="49AF99C2"/>
    <w:rsid w:val="49B53F47"/>
    <w:rsid w:val="49ECBC69"/>
    <w:rsid w:val="49F213E3"/>
    <w:rsid w:val="4A092839"/>
    <w:rsid w:val="4A13D9EC"/>
    <w:rsid w:val="4A32CC83"/>
    <w:rsid w:val="4A3E0A4F"/>
    <w:rsid w:val="4A4EE876"/>
    <w:rsid w:val="4A513B8E"/>
    <w:rsid w:val="4A60ED96"/>
    <w:rsid w:val="4A71CAC6"/>
    <w:rsid w:val="4A7B76B9"/>
    <w:rsid w:val="4A8BCAA1"/>
    <w:rsid w:val="4A94D564"/>
    <w:rsid w:val="4AA07A44"/>
    <w:rsid w:val="4AA81437"/>
    <w:rsid w:val="4AAAA9E2"/>
    <w:rsid w:val="4AB22188"/>
    <w:rsid w:val="4AC1DCB7"/>
    <w:rsid w:val="4B0F0A1F"/>
    <w:rsid w:val="4B120A0F"/>
    <w:rsid w:val="4B15E6DC"/>
    <w:rsid w:val="4B3FDE4A"/>
    <w:rsid w:val="4B45BAE2"/>
    <w:rsid w:val="4B55FE29"/>
    <w:rsid w:val="4B56A733"/>
    <w:rsid w:val="4B5F2679"/>
    <w:rsid w:val="4B6A30AA"/>
    <w:rsid w:val="4B8256E3"/>
    <w:rsid w:val="4B989E5C"/>
    <w:rsid w:val="4B9E180A"/>
    <w:rsid w:val="4BA1AA58"/>
    <w:rsid w:val="4BB3418F"/>
    <w:rsid w:val="4BBF27AE"/>
    <w:rsid w:val="4BD55D54"/>
    <w:rsid w:val="4BE1CA38"/>
    <w:rsid w:val="4BE62550"/>
    <w:rsid w:val="4BE91FEA"/>
    <w:rsid w:val="4BF9744A"/>
    <w:rsid w:val="4C008735"/>
    <w:rsid w:val="4C13C868"/>
    <w:rsid w:val="4C157442"/>
    <w:rsid w:val="4C2204BA"/>
    <w:rsid w:val="4C239FEE"/>
    <w:rsid w:val="4C2D6DAF"/>
    <w:rsid w:val="4C2E8F0A"/>
    <w:rsid w:val="4C3CA4B5"/>
    <w:rsid w:val="4C48649C"/>
    <w:rsid w:val="4C743866"/>
    <w:rsid w:val="4C780557"/>
    <w:rsid w:val="4C7D25A7"/>
    <w:rsid w:val="4C7EDEF4"/>
    <w:rsid w:val="4C87BD24"/>
    <w:rsid w:val="4C8D8F4E"/>
    <w:rsid w:val="4CAEE89D"/>
    <w:rsid w:val="4CC1AA85"/>
    <w:rsid w:val="4CC209A4"/>
    <w:rsid w:val="4CCFED37"/>
    <w:rsid w:val="4CD38F4F"/>
    <w:rsid w:val="4CD714A9"/>
    <w:rsid w:val="4CDBB943"/>
    <w:rsid w:val="4CE912D9"/>
    <w:rsid w:val="4D169A67"/>
    <w:rsid w:val="4D2E2C63"/>
    <w:rsid w:val="4D52FFF1"/>
    <w:rsid w:val="4D536BBE"/>
    <w:rsid w:val="4D79D86A"/>
    <w:rsid w:val="4D827800"/>
    <w:rsid w:val="4D83D145"/>
    <w:rsid w:val="4D8AFA24"/>
    <w:rsid w:val="4D8B7B71"/>
    <w:rsid w:val="4D9862AE"/>
    <w:rsid w:val="4DB9225A"/>
    <w:rsid w:val="4DBD781A"/>
    <w:rsid w:val="4DCCE369"/>
    <w:rsid w:val="4DD5852F"/>
    <w:rsid w:val="4E103332"/>
    <w:rsid w:val="4E3119EC"/>
    <w:rsid w:val="4E4A22F9"/>
    <w:rsid w:val="4E51281D"/>
    <w:rsid w:val="4E587D7C"/>
    <w:rsid w:val="4E63E655"/>
    <w:rsid w:val="4E726CD9"/>
    <w:rsid w:val="4E7841DF"/>
    <w:rsid w:val="4E79AAB3"/>
    <w:rsid w:val="4E823B12"/>
    <w:rsid w:val="4E9598A0"/>
    <w:rsid w:val="4EC2E9BD"/>
    <w:rsid w:val="4EF29990"/>
    <w:rsid w:val="4EF85612"/>
    <w:rsid w:val="4F121CDC"/>
    <w:rsid w:val="4F1502CE"/>
    <w:rsid w:val="4F1A6D25"/>
    <w:rsid w:val="4F217D32"/>
    <w:rsid w:val="4F386A03"/>
    <w:rsid w:val="4F3CEDB2"/>
    <w:rsid w:val="4F5576B2"/>
    <w:rsid w:val="4F892EBE"/>
    <w:rsid w:val="4F89CBD4"/>
    <w:rsid w:val="4F98220B"/>
    <w:rsid w:val="4F99D318"/>
    <w:rsid w:val="4FB30A80"/>
    <w:rsid w:val="4FC257E1"/>
    <w:rsid w:val="4FDAFDF6"/>
    <w:rsid w:val="4FE07E7C"/>
    <w:rsid w:val="4FEE0E86"/>
    <w:rsid w:val="500E07C8"/>
    <w:rsid w:val="50174871"/>
    <w:rsid w:val="5026440C"/>
    <w:rsid w:val="5050C31B"/>
    <w:rsid w:val="5051F3F0"/>
    <w:rsid w:val="5060418E"/>
    <w:rsid w:val="50778E8B"/>
    <w:rsid w:val="508F38EF"/>
    <w:rsid w:val="5096984A"/>
    <w:rsid w:val="50A2074B"/>
    <w:rsid w:val="50C14E3C"/>
    <w:rsid w:val="50C4D56C"/>
    <w:rsid w:val="50D135D1"/>
    <w:rsid w:val="50DE6829"/>
    <w:rsid w:val="50DF3F6E"/>
    <w:rsid w:val="50F19C39"/>
    <w:rsid w:val="50F51AFC"/>
    <w:rsid w:val="50F62EC5"/>
    <w:rsid w:val="51371E47"/>
    <w:rsid w:val="513D6EA2"/>
    <w:rsid w:val="514AAC31"/>
    <w:rsid w:val="515DE636"/>
    <w:rsid w:val="516305A2"/>
    <w:rsid w:val="517873FC"/>
    <w:rsid w:val="517B7CF5"/>
    <w:rsid w:val="517C75E3"/>
    <w:rsid w:val="519B3D2C"/>
    <w:rsid w:val="51A254E8"/>
    <w:rsid w:val="51A2FDE8"/>
    <w:rsid w:val="51AC98B7"/>
    <w:rsid w:val="51B30059"/>
    <w:rsid w:val="51B4FC18"/>
    <w:rsid w:val="51CFDAA7"/>
    <w:rsid w:val="51D817EA"/>
    <w:rsid w:val="51D8B23E"/>
    <w:rsid w:val="51DC54C4"/>
    <w:rsid w:val="51E1868A"/>
    <w:rsid w:val="522E2EE0"/>
    <w:rsid w:val="5231B14D"/>
    <w:rsid w:val="525FDD95"/>
    <w:rsid w:val="52736F5C"/>
    <w:rsid w:val="52846232"/>
    <w:rsid w:val="52915D16"/>
    <w:rsid w:val="529D9084"/>
    <w:rsid w:val="52AB0CB5"/>
    <w:rsid w:val="52AED463"/>
    <w:rsid w:val="52C02100"/>
    <w:rsid w:val="52D005A9"/>
    <w:rsid w:val="52E0D141"/>
    <w:rsid w:val="52E264D8"/>
    <w:rsid w:val="5303424C"/>
    <w:rsid w:val="53133CC4"/>
    <w:rsid w:val="531F8A05"/>
    <w:rsid w:val="533E5618"/>
    <w:rsid w:val="53422CEB"/>
    <w:rsid w:val="5342D576"/>
    <w:rsid w:val="53524AE0"/>
    <w:rsid w:val="535ACEE3"/>
    <w:rsid w:val="538512E4"/>
    <w:rsid w:val="538A547A"/>
    <w:rsid w:val="538E1D27"/>
    <w:rsid w:val="53AA20CA"/>
    <w:rsid w:val="53B86EFB"/>
    <w:rsid w:val="53C515C2"/>
    <w:rsid w:val="53E3AE94"/>
    <w:rsid w:val="53F7FA6E"/>
    <w:rsid w:val="54014417"/>
    <w:rsid w:val="5401B7D3"/>
    <w:rsid w:val="54020404"/>
    <w:rsid w:val="5402DF20"/>
    <w:rsid w:val="541B7437"/>
    <w:rsid w:val="5427ED48"/>
    <w:rsid w:val="5469EA8C"/>
    <w:rsid w:val="546B33FA"/>
    <w:rsid w:val="5479F405"/>
    <w:rsid w:val="54808D7B"/>
    <w:rsid w:val="5484E399"/>
    <w:rsid w:val="5492B9D9"/>
    <w:rsid w:val="54A6DC9D"/>
    <w:rsid w:val="54AD8AFD"/>
    <w:rsid w:val="54B0AC81"/>
    <w:rsid w:val="54B87795"/>
    <w:rsid w:val="54BA1B45"/>
    <w:rsid w:val="54D1C96A"/>
    <w:rsid w:val="54E6608C"/>
    <w:rsid w:val="550725FD"/>
    <w:rsid w:val="551286A5"/>
    <w:rsid w:val="5528F99B"/>
    <w:rsid w:val="5534D6CC"/>
    <w:rsid w:val="554325B1"/>
    <w:rsid w:val="5555FFB3"/>
    <w:rsid w:val="556BDCFF"/>
    <w:rsid w:val="556E9E2D"/>
    <w:rsid w:val="557E73C5"/>
    <w:rsid w:val="55987A76"/>
    <w:rsid w:val="55993F5A"/>
    <w:rsid w:val="559A5492"/>
    <w:rsid w:val="55BD8578"/>
    <w:rsid w:val="55C21804"/>
    <w:rsid w:val="55C2626F"/>
    <w:rsid w:val="55D1D152"/>
    <w:rsid w:val="55E3B8C1"/>
    <w:rsid w:val="55E4D886"/>
    <w:rsid w:val="55E94C05"/>
    <w:rsid w:val="55E9F7F2"/>
    <w:rsid w:val="56169570"/>
    <w:rsid w:val="561CE9C1"/>
    <w:rsid w:val="562688E9"/>
    <w:rsid w:val="563C2139"/>
    <w:rsid w:val="56508DED"/>
    <w:rsid w:val="566D1DDB"/>
    <w:rsid w:val="56808B48"/>
    <w:rsid w:val="5692FAF1"/>
    <w:rsid w:val="5693D660"/>
    <w:rsid w:val="5694858A"/>
    <w:rsid w:val="5696B04D"/>
    <w:rsid w:val="56975E77"/>
    <w:rsid w:val="56B17075"/>
    <w:rsid w:val="56B8A39D"/>
    <w:rsid w:val="56BB4537"/>
    <w:rsid w:val="56D5C0EF"/>
    <w:rsid w:val="56E0677A"/>
    <w:rsid w:val="57139028"/>
    <w:rsid w:val="57266194"/>
    <w:rsid w:val="57330519"/>
    <w:rsid w:val="574DB041"/>
    <w:rsid w:val="57504B71"/>
    <w:rsid w:val="575168E7"/>
    <w:rsid w:val="57552280"/>
    <w:rsid w:val="5758B238"/>
    <w:rsid w:val="5769D00B"/>
    <w:rsid w:val="576B570C"/>
    <w:rsid w:val="576E94CF"/>
    <w:rsid w:val="577716B7"/>
    <w:rsid w:val="5777E005"/>
    <w:rsid w:val="577F2796"/>
    <w:rsid w:val="5791156F"/>
    <w:rsid w:val="57A15ACD"/>
    <w:rsid w:val="57A478E0"/>
    <w:rsid w:val="57AB25EE"/>
    <w:rsid w:val="57B7CD7E"/>
    <w:rsid w:val="57CEF3FE"/>
    <w:rsid w:val="57D228EB"/>
    <w:rsid w:val="57F301FF"/>
    <w:rsid w:val="57F6EB59"/>
    <w:rsid w:val="57F96686"/>
    <w:rsid w:val="580D035F"/>
    <w:rsid w:val="580EBEB5"/>
    <w:rsid w:val="581AE991"/>
    <w:rsid w:val="581B0BF6"/>
    <w:rsid w:val="5820B8E1"/>
    <w:rsid w:val="583CBE4B"/>
    <w:rsid w:val="5840AB2D"/>
    <w:rsid w:val="5857623C"/>
    <w:rsid w:val="5858A3E7"/>
    <w:rsid w:val="5860B088"/>
    <w:rsid w:val="58669985"/>
    <w:rsid w:val="586DAD44"/>
    <w:rsid w:val="587A520D"/>
    <w:rsid w:val="587E2E41"/>
    <w:rsid w:val="5889CC9F"/>
    <w:rsid w:val="589C63C3"/>
    <w:rsid w:val="589C9E8C"/>
    <w:rsid w:val="58A5A777"/>
    <w:rsid w:val="58C1812A"/>
    <w:rsid w:val="58D432B1"/>
    <w:rsid w:val="58E76702"/>
    <w:rsid w:val="58F09EB2"/>
    <w:rsid w:val="58F18985"/>
    <w:rsid w:val="58F7C1DD"/>
    <w:rsid w:val="591ADCBF"/>
    <w:rsid w:val="592A2255"/>
    <w:rsid w:val="595EA318"/>
    <w:rsid w:val="5982A7FD"/>
    <w:rsid w:val="5984FCD2"/>
    <w:rsid w:val="598A6C56"/>
    <w:rsid w:val="59906898"/>
    <w:rsid w:val="59921735"/>
    <w:rsid w:val="59C3AB5A"/>
    <w:rsid w:val="59CF3840"/>
    <w:rsid w:val="59D09789"/>
    <w:rsid w:val="59F12DAA"/>
    <w:rsid w:val="5A03DE6C"/>
    <w:rsid w:val="5A1F4C03"/>
    <w:rsid w:val="5A1FBB42"/>
    <w:rsid w:val="5A241160"/>
    <w:rsid w:val="5A478428"/>
    <w:rsid w:val="5A579A75"/>
    <w:rsid w:val="5A64B231"/>
    <w:rsid w:val="5A66D74B"/>
    <w:rsid w:val="5A756858"/>
    <w:rsid w:val="5A7607D6"/>
    <w:rsid w:val="5A768480"/>
    <w:rsid w:val="5A8952EE"/>
    <w:rsid w:val="5A8B0153"/>
    <w:rsid w:val="5A8E0143"/>
    <w:rsid w:val="5A990B11"/>
    <w:rsid w:val="5AA9DC74"/>
    <w:rsid w:val="5AABCE3A"/>
    <w:rsid w:val="5AC25B1C"/>
    <w:rsid w:val="5AD35241"/>
    <w:rsid w:val="5B0F744D"/>
    <w:rsid w:val="5B12CB3C"/>
    <w:rsid w:val="5B155DD0"/>
    <w:rsid w:val="5B1EDB47"/>
    <w:rsid w:val="5B364B14"/>
    <w:rsid w:val="5B3E8DAC"/>
    <w:rsid w:val="5B52C2E3"/>
    <w:rsid w:val="5B67CDE8"/>
    <w:rsid w:val="5B7D57ED"/>
    <w:rsid w:val="5B84BFAD"/>
    <w:rsid w:val="5B879DB5"/>
    <w:rsid w:val="5B8F7B24"/>
    <w:rsid w:val="5B90829F"/>
    <w:rsid w:val="5BACC4D7"/>
    <w:rsid w:val="5BAD7D98"/>
    <w:rsid w:val="5BAFA109"/>
    <w:rsid w:val="5BBF4454"/>
    <w:rsid w:val="5BC33129"/>
    <w:rsid w:val="5BD2BE63"/>
    <w:rsid w:val="5BD60C00"/>
    <w:rsid w:val="5BFA0A6B"/>
    <w:rsid w:val="5BFDFC98"/>
    <w:rsid w:val="5BFF8914"/>
    <w:rsid w:val="5C13B0AD"/>
    <w:rsid w:val="5C1C081B"/>
    <w:rsid w:val="5C32C5C4"/>
    <w:rsid w:val="5C383F4E"/>
    <w:rsid w:val="5C40DC48"/>
    <w:rsid w:val="5C4CDECA"/>
    <w:rsid w:val="5C562D16"/>
    <w:rsid w:val="5C5EB885"/>
    <w:rsid w:val="5C6329D2"/>
    <w:rsid w:val="5C8B3AB9"/>
    <w:rsid w:val="5C8B73EA"/>
    <w:rsid w:val="5C8EF745"/>
    <w:rsid w:val="5CA766D4"/>
    <w:rsid w:val="5CB4A878"/>
    <w:rsid w:val="5CD223F1"/>
    <w:rsid w:val="5CE4E76B"/>
    <w:rsid w:val="5D04D6E8"/>
    <w:rsid w:val="5D1560EC"/>
    <w:rsid w:val="5D19F084"/>
    <w:rsid w:val="5D1E90B6"/>
    <w:rsid w:val="5D288D4A"/>
    <w:rsid w:val="5D29F9DB"/>
    <w:rsid w:val="5D34C2AD"/>
    <w:rsid w:val="5D41A720"/>
    <w:rsid w:val="5D464966"/>
    <w:rsid w:val="5D4AD5FD"/>
    <w:rsid w:val="5D5348ED"/>
    <w:rsid w:val="5D6B425A"/>
    <w:rsid w:val="5D806DAD"/>
    <w:rsid w:val="5D842C9D"/>
    <w:rsid w:val="5D844173"/>
    <w:rsid w:val="5D86EA37"/>
    <w:rsid w:val="5D92DC20"/>
    <w:rsid w:val="5D96A928"/>
    <w:rsid w:val="5DA49AC4"/>
    <w:rsid w:val="5DA7C659"/>
    <w:rsid w:val="5DE59568"/>
    <w:rsid w:val="5DEA5F68"/>
    <w:rsid w:val="5DF4AA40"/>
    <w:rsid w:val="5E0C11BD"/>
    <w:rsid w:val="5E22B79D"/>
    <w:rsid w:val="5E26B5AE"/>
    <w:rsid w:val="5E2E133C"/>
    <w:rsid w:val="5E2E46B7"/>
    <w:rsid w:val="5E506780"/>
    <w:rsid w:val="5E61CDF3"/>
    <w:rsid w:val="5E66FA21"/>
    <w:rsid w:val="5E71C385"/>
    <w:rsid w:val="5E766ACF"/>
    <w:rsid w:val="5E7EEB45"/>
    <w:rsid w:val="5E93044E"/>
    <w:rsid w:val="5E9DAF39"/>
    <w:rsid w:val="5E9F8FF3"/>
    <w:rsid w:val="5EA32BB9"/>
    <w:rsid w:val="5EA63E53"/>
    <w:rsid w:val="5EAEBB7F"/>
    <w:rsid w:val="5EEAAD05"/>
    <w:rsid w:val="5EF19B6F"/>
    <w:rsid w:val="5EFBB163"/>
    <w:rsid w:val="5F20060E"/>
    <w:rsid w:val="5F24ACE1"/>
    <w:rsid w:val="5F522FCD"/>
    <w:rsid w:val="5F5A4491"/>
    <w:rsid w:val="5F637709"/>
    <w:rsid w:val="5F6FC550"/>
    <w:rsid w:val="5F966E81"/>
    <w:rsid w:val="5F9AF5FD"/>
    <w:rsid w:val="5FB720BD"/>
    <w:rsid w:val="5FC5F656"/>
    <w:rsid w:val="5FD22D4F"/>
    <w:rsid w:val="5FD9B533"/>
    <w:rsid w:val="5FDC1DAB"/>
    <w:rsid w:val="5FE6B1EF"/>
    <w:rsid w:val="6000BE68"/>
    <w:rsid w:val="600C4E29"/>
    <w:rsid w:val="60112FF1"/>
    <w:rsid w:val="6013A6ED"/>
    <w:rsid w:val="60289C7E"/>
    <w:rsid w:val="602C508C"/>
    <w:rsid w:val="60319DC2"/>
    <w:rsid w:val="603CE858"/>
    <w:rsid w:val="6040EFFA"/>
    <w:rsid w:val="606BC668"/>
    <w:rsid w:val="607B2960"/>
    <w:rsid w:val="60937B02"/>
    <w:rsid w:val="60993B6E"/>
    <w:rsid w:val="60B3EBB2"/>
    <w:rsid w:val="60B467CC"/>
    <w:rsid w:val="60CABB94"/>
    <w:rsid w:val="60D74DB4"/>
    <w:rsid w:val="60E65F68"/>
    <w:rsid w:val="60F6C910"/>
    <w:rsid w:val="61193CBC"/>
    <w:rsid w:val="611C2208"/>
    <w:rsid w:val="611F5EAE"/>
    <w:rsid w:val="613556E5"/>
    <w:rsid w:val="6140528B"/>
    <w:rsid w:val="61422C10"/>
    <w:rsid w:val="61499C34"/>
    <w:rsid w:val="6153E04E"/>
    <w:rsid w:val="6163D5E0"/>
    <w:rsid w:val="61704565"/>
    <w:rsid w:val="61791169"/>
    <w:rsid w:val="617BEE6A"/>
    <w:rsid w:val="618B316D"/>
    <w:rsid w:val="618DEF3B"/>
    <w:rsid w:val="61A240B9"/>
    <w:rsid w:val="61A4695B"/>
    <w:rsid w:val="61BB6277"/>
    <w:rsid w:val="61C79E26"/>
    <w:rsid w:val="61C8E598"/>
    <w:rsid w:val="620972DF"/>
    <w:rsid w:val="620A451F"/>
    <w:rsid w:val="620F3091"/>
    <w:rsid w:val="621F322C"/>
    <w:rsid w:val="62295EAE"/>
    <w:rsid w:val="62327D44"/>
    <w:rsid w:val="62501592"/>
    <w:rsid w:val="626F5F6F"/>
    <w:rsid w:val="6273821F"/>
    <w:rsid w:val="628E3EB0"/>
    <w:rsid w:val="62947509"/>
    <w:rsid w:val="62C69A8D"/>
    <w:rsid w:val="62E0D293"/>
    <w:rsid w:val="62EF7C32"/>
    <w:rsid w:val="62F1D84B"/>
    <w:rsid w:val="62F29EED"/>
    <w:rsid w:val="62F34D6D"/>
    <w:rsid w:val="6300A260"/>
    <w:rsid w:val="6302CD75"/>
    <w:rsid w:val="6303C399"/>
    <w:rsid w:val="631A296F"/>
    <w:rsid w:val="631C517C"/>
    <w:rsid w:val="631F298C"/>
    <w:rsid w:val="632D30A3"/>
    <w:rsid w:val="632F5B5F"/>
    <w:rsid w:val="6330DDF0"/>
    <w:rsid w:val="6337EA4D"/>
    <w:rsid w:val="637CC160"/>
    <w:rsid w:val="638F3A1A"/>
    <w:rsid w:val="6395395B"/>
    <w:rsid w:val="63A0F8B5"/>
    <w:rsid w:val="63AE60D3"/>
    <w:rsid w:val="63CA8160"/>
    <w:rsid w:val="63DC2E7D"/>
    <w:rsid w:val="64198C75"/>
    <w:rsid w:val="641A7205"/>
    <w:rsid w:val="641E190C"/>
    <w:rsid w:val="642B4FEE"/>
    <w:rsid w:val="642C221D"/>
    <w:rsid w:val="643B0AA7"/>
    <w:rsid w:val="643C383B"/>
    <w:rsid w:val="6455E83B"/>
    <w:rsid w:val="64591F9F"/>
    <w:rsid w:val="646B51F2"/>
    <w:rsid w:val="6475A2DB"/>
    <w:rsid w:val="64901F8B"/>
    <w:rsid w:val="649F59D5"/>
    <w:rsid w:val="64A59E72"/>
    <w:rsid w:val="64AF217C"/>
    <w:rsid w:val="64AF8ECE"/>
    <w:rsid w:val="64B02BE7"/>
    <w:rsid w:val="64B29B2E"/>
    <w:rsid w:val="64B86FEB"/>
    <w:rsid w:val="64BAA977"/>
    <w:rsid w:val="64BF4E11"/>
    <w:rsid w:val="64CC4D98"/>
    <w:rsid w:val="64DC8C50"/>
    <w:rsid w:val="64E2D67D"/>
    <w:rsid w:val="64E903EA"/>
    <w:rsid w:val="650465ED"/>
    <w:rsid w:val="6510B7CD"/>
    <w:rsid w:val="653694BF"/>
    <w:rsid w:val="65563EB1"/>
    <w:rsid w:val="655A90E0"/>
    <w:rsid w:val="657A743C"/>
    <w:rsid w:val="65954ED3"/>
    <w:rsid w:val="65AFB67F"/>
    <w:rsid w:val="65B60561"/>
    <w:rsid w:val="65BEEE0B"/>
    <w:rsid w:val="660CB5A0"/>
    <w:rsid w:val="660F2871"/>
    <w:rsid w:val="661F42FE"/>
    <w:rsid w:val="6622DA66"/>
    <w:rsid w:val="6639D9C3"/>
    <w:rsid w:val="663A7C49"/>
    <w:rsid w:val="6641D37A"/>
    <w:rsid w:val="66477B23"/>
    <w:rsid w:val="66495A46"/>
    <w:rsid w:val="665135F0"/>
    <w:rsid w:val="6657D766"/>
    <w:rsid w:val="665F4460"/>
    <w:rsid w:val="6676D58A"/>
    <w:rsid w:val="6679C491"/>
    <w:rsid w:val="669AC5C5"/>
    <w:rsid w:val="669B5A3B"/>
    <w:rsid w:val="669EC54A"/>
    <w:rsid w:val="66A5F585"/>
    <w:rsid w:val="66ADC3A4"/>
    <w:rsid w:val="66C15B57"/>
    <w:rsid w:val="66C3BEA2"/>
    <w:rsid w:val="66DAF3BB"/>
    <w:rsid w:val="66EE143D"/>
    <w:rsid w:val="66FFECAF"/>
    <w:rsid w:val="670014E8"/>
    <w:rsid w:val="670BEA33"/>
    <w:rsid w:val="670FA5FD"/>
    <w:rsid w:val="672D5BD4"/>
    <w:rsid w:val="673B5A9C"/>
    <w:rsid w:val="67482AC3"/>
    <w:rsid w:val="67654916"/>
    <w:rsid w:val="676C697D"/>
    <w:rsid w:val="677F1424"/>
    <w:rsid w:val="678AB5E9"/>
    <w:rsid w:val="678FDC45"/>
    <w:rsid w:val="67927E1E"/>
    <w:rsid w:val="67A9E8BE"/>
    <w:rsid w:val="67AF2F68"/>
    <w:rsid w:val="67B3013C"/>
    <w:rsid w:val="67B70D97"/>
    <w:rsid w:val="67CC8B9F"/>
    <w:rsid w:val="67CE41FE"/>
    <w:rsid w:val="67CE9EAB"/>
    <w:rsid w:val="67D35970"/>
    <w:rsid w:val="67F919E2"/>
    <w:rsid w:val="6805435D"/>
    <w:rsid w:val="6805A149"/>
    <w:rsid w:val="6809A53E"/>
    <w:rsid w:val="681BAA5E"/>
    <w:rsid w:val="681F5D70"/>
    <w:rsid w:val="68313987"/>
    <w:rsid w:val="683559FD"/>
    <w:rsid w:val="6853A9C3"/>
    <w:rsid w:val="68545316"/>
    <w:rsid w:val="6863B422"/>
    <w:rsid w:val="689B1B00"/>
    <w:rsid w:val="68AE3566"/>
    <w:rsid w:val="68B4CA9F"/>
    <w:rsid w:val="68D44BF0"/>
    <w:rsid w:val="68D9C393"/>
    <w:rsid w:val="68E8E577"/>
    <w:rsid w:val="68E98FFF"/>
    <w:rsid w:val="68EBB064"/>
    <w:rsid w:val="68EE0D34"/>
    <w:rsid w:val="6906F3E6"/>
    <w:rsid w:val="690D0036"/>
    <w:rsid w:val="691EFFAD"/>
    <w:rsid w:val="692428BE"/>
    <w:rsid w:val="692E40FF"/>
    <w:rsid w:val="695C08CA"/>
    <w:rsid w:val="697187B1"/>
    <w:rsid w:val="6988F98C"/>
    <w:rsid w:val="698F0538"/>
    <w:rsid w:val="69964DAA"/>
    <w:rsid w:val="6998B381"/>
    <w:rsid w:val="69A03E34"/>
    <w:rsid w:val="69AB81EF"/>
    <w:rsid w:val="69DA2DD6"/>
    <w:rsid w:val="6A01B858"/>
    <w:rsid w:val="6A027DFE"/>
    <w:rsid w:val="6A0356CF"/>
    <w:rsid w:val="6A100A14"/>
    <w:rsid w:val="6A59D73E"/>
    <w:rsid w:val="6A74F1E4"/>
    <w:rsid w:val="6A7D168B"/>
    <w:rsid w:val="6A82D299"/>
    <w:rsid w:val="6A932E1A"/>
    <w:rsid w:val="6A9754AF"/>
    <w:rsid w:val="6A9C77C3"/>
    <w:rsid w:val="6AA16FF1"/>
    <w:rsid w:val="6AACEDEF"/>
    <w:rsid w:val="6AB7090B"/>
    <w:rsid w:val="6AC3D92F"/>
    <w:rsid w:val="6AC8C5CA"/>
    <w:rsid w:val="6ACBFC7E"/>
    <w:rsid w:val="6AD5E1CE"/>
    <w:rsid w:val="6ADD6372"/>
    <w:rsid w:val="6AEBCE4D"/>
    <w:rsid w:val="6B14CC26"/>
    <w:rsid w:val="6B491C06"/>
    <w:rsid w:val="6B536323"/>
    <w:rsid w:val="6B5BB3F8"/>
    <w:rsid w:val="6B6BFDDB"/>
    <w:rsid w:val="6B7E8B91"/>
    <w:rsid w:val="6B80F21C"/>
    <w:rsid w:val="6B81675C"/>
    <w:rsid w:val="6B87A9CF"/>
    <w:rsid w:val="6B9CF218"/>
    <w:rsid w:val="6BAACCB8"/>
    <w:rsid w:val="6BAF4E6E"/>
    <w:rsid w:val="6BD97133"/>
    <w:rsid w:val="6BDB8F3C"/>
    <w:rsid w:val="6BE24258"/>
    <w:rsid w:val="6C01AE04"/>
    <w:rsid w:val="6C092436"/>
    <w:rsid w:val="6C0E7531"/>
    <w:rsid w:val="6C144E1A"/>
    <w:rsid w:val="6C26A7AB"/>
    <w:rsid w:val="6C414B9C"/>
    <w:rsid w:val="6C46739E"/>
    <w:rsid w:val="6C678DF4"/>
    <w:rsid w:val="6C6E78CD"/>
    <w:rsid w:val="6C730B02"/>
    <w:rsid w:val="6C73A275"/>
    <w:rsid w:val="6C8A4932"/>
    <w:rsid w:val="6C90D970"/>
    <w:rsid w:val="6C9F42AF"/>
    <w:rsid w:val="6CA648D4"/>
    <w:rsid w:val="6CB96571"/>
    <w:rsid w:val="6CE1CD52"/>
    <w:rsid w:val="6D0144E2"/>
    <w:rsid w:val="6D0A9C20"/>
    <w:rsid w:val="6D2CB7BF"/>
    <w:rsid w:val="6D491685"/>
    <w:rsid w:val="6D50554F"/>
    <w:rsid w:val="6D5B3E40"/>
    <w:rsid w:val="6D78C658"/>
    <w:rsid w:val="6D8435A1"/>
    <w:rsid w:val="6D9BDF11"/>
    <w:rsid w:val="6DA0FE7D"/>
    <w:rsid w:val="6DB17452"/>
    <w:rsid w:val="6DBEC79A"/>
    <w:rsid w:val="6DEAFDD0"/>
    <w:rsid w:val="6DFF9139"/>
    <w:rsid w:val="6E007E8F"/>
    <w:rsid w:val="6E081099"/>
    <w:rsid w:val="6E0C3BAF"/>
    <w:rsid w:val="6E155D26"/>
    <w:rsid w:val="6E2555DE"/>
    <w:rsid w:val="6E2A76CB"/>
    <w:rsid w:val="6E612026"/>
    <w:rsid w:val="6E911D98"/>
    <w:rsid w:val="6E91F451"/>
    <w:rsid w:val="6EA1838E"/>
    <w:rsid w:val="6EA37B72"/>
    <w:rsid w:val="6EA785CB"/>
    <w:rsid w:val="6EAB9410"/>
    <w:rsid w:val="6EB47E87"/>
    <w:rsid w:val="6EB612AA"/>
    <w:rsid w:val="6EC16986"/>
    <w:rsid w:val="6EC555B6"/>
    <w:rsid w:val="6EFB3691"/>
    <w:rsid w:val="6F2A4354"/>
    <w:rsid w:val="6F686102"/>
    <w:rsid w:val="6FA06BC2"/>
    <w:rsid w:val="6FAA2FC8"/>
    <w:rsid w:val="6FB00971"/>
    <w:rsid w:val="6FB51DE2"/>
    <w:rsid w:val="6FBC07B5"/>
    <w:rsid w:val="6FD84692"/>
    <w:rsid w:val="6FD9D32B"/>
    <w:rsid w:val="6FDCE8F8"/>
    <w:rsid w:val="6FE145CA"/>
    <w:rsid w:val="6FEC605D"/>
    <w:rsid w:val="6FF25383"/>
    <w:rsid w:val="702DCF4A"/>
    <w:rsid w:val="703AF70A"/>
    <w:rsid w:val="705DB74C"/>
    <w:rsid w:val="707A7AF9"/>
    <w:rsid w:val="707E9B49"/>
    <w:rsid w:val="7080426A"/>
    <w:rsid w:val="709310D8"/>
    <w:rsid w:val="709CEEA5"/>
    <w:rsid w:val="70A7787B"/>
    <w:rsid w:val="70A97F3A"/>
    <w:rsid w:val="70ABC1BF"/>
    <w:rsid w:val="70B2BD43"/>
    <w:rsid w:val="70BD1C9E"/>
    <w:rsid w:val="70DD9178"/>
    <w:rsid w:val="70E0CED1"/>
    <w:rsid w:val="70E14DE8"/>
    <w:rsid w:val="70F1D4D5"/>
    <w:rsid w:val="71036E1A"/>
    <w:rsid w:val="7109B39E"/>
    <w:rsid w:val="710FAE7F"/>
    <w:rsid w:val="713787D9"/>
    <w:rsid w:val="7141D358"/>
    <w:rsid w:val="7141ED62"/>
    <w:rsid w:val="7167ECAF"/>
    <w:rsid w:val="71797982"/>
    <w:rsid w:val="7181C43D"/>
    <w:rsid w:val="71832FF3"/>
    <w:rsid w:val="718FBBDB"/>
    <w:rsid w:val="719EAA9D"/>
    <w:rsid w:val="71A7055B"/>
    <w:rsid w:val="71B97129"/>
    <w:rsid w:val="71B98A6F"/>
    <w:rsid w:val="71CE59E4"/>
    <w:rsid w:val="71CFB650"/>
    <w:rsid w:val="71D0810D"/>
    <w:rsid w:val="71D4660D"/>
    <w:rsid w:val="72018DFE"/>
    <w:rsid w:val="7201A710"/>
    <w:rsid w:val="7207A62E"/>
    <w:rsid w:val="720BA276"/>
    <w:rsid w:val="720DEA07"/>
    <w:rsid w:val="721827FD"/>
    <w:rsid w:val="721B68B6"/>
    <w:rsid w:val="722FDE53"/>
    <w:rsid w:val="7244AF97"/>
    <w:rsid w:val="72481EE3"/>
    <w:rsid w:val="7256E789"/>
    <w:rsid w:val="72599CA4"/>
    <w:rsid w:val="72674A2C"/>
    <w:rsid w:val="726D30C2"/>
    <w:rsid w:val="726E9621"/>
    <w:rsid w:val="72719611"/>
    <w:rsid w:val="728213F7"/>
    <w:rsid w:val="7289E892"/>
    <w:rsid w:val="728A800A"/>
    <w:rsid w:val="7294F8A3"/>
    <w:rsid w:val="729A16A0"/>
    <w:rsid w:val="72AD41ED"/>
    <w:rsid w:val="72AE1A10"/>
    <w:rsid w:val="72ED47E8"/>
    <w:rsid w:val="73074628"/>
    <w:rsid w:val="731869F7"/>
    <w:rsid w:val="732A3805"/>
    <w:rsid w:val="732A91B2"/>
    <w:rsid w:val="732D0965"/>
    <w:rsid w:val="73635533"/>
    <w:rsid w:val="736C8D54"/>
    <w:rsid w:val="736F6B45"/>
    <w:rsid w:val="737FE1C8"/>
    <w:rsid w:val="738A2B97"/>
    <w:rsid w:val="73928034"/>
    <w:rsid w:val="73A2D922"/>
    <w:rsid w:val="73AA52D4"/>
    <w:rsid w:val="73BAD28F"/>
    <w:rsid w:val="73BC12E5"/>
    <w:rsid w:val="73C02DBC"/>
    <w:rsid w:val="73CFA3D3"/>
    <w:rsid w:val="73CFD201"/>
    <w:rsid w:val="73DFE977"/>
    <w:rsid w:val="73E74D5B"/>
    <w:rsid w:val="73FDDF4C"/>
    <w:rsid w:val="73FE97D1"/>
    <w:rsid w:val="74042496"/>
    <w:rsid w:val="74064F6E"/>
    <w:rsid w:val="740CC462"/>
    <w:rsid w:val="7420F396"/>
    <w:rsid w:val="74275E12"/>
    <w:rsid w:val="7432B850"/>
    <w:rsid w:val="7441E921"/>
    <w:rsid w:val="7448D7E8"/>
    <w:rsid w:val="745AA3FB"/>
    <w:rsid w:val="7470F846"/>
    <w:rsid w:val="747376D5"/>
    <w:rsid w:val="747B816F"/>
    <w:rsid w:val="749CC238"/>
    <w:rsid w:val="74E11D0C"/>
    <w:rsid w:val="74E12AE5"/>
    <w:rsid w:val="74F2B606"/>
    <w:rsid w:val="74F513EF"/>
    <w:rsid w:val="7506E049"/>
    <w:rsid w:val="7507121F"/>
    <w:rsid w:val="750734BA"/>
    <w:rsid w:val="750B9811"/>
    <w:rsid w:val="750D066C"/>
    <w:rsid w:val="751205B4"/>
    <w:rsid w:val="7514E3BC"/>
    <w:rsid w:val="751A0328"/>
    <w:rsid w:val="752DAFE9"/>
    <w:rsid w:val="753413C8"/>
    <w:rsid w:val="75466438"/>
    <w:rsid w:val="75476E12"/>
    <w:rsid w:val="754A28D3"/>
    <w:rsid w:val="755E0E2E"/>
    <w:rsid w:val="7570FF37"/>
    <w:rsid w:val="75731EE8"/>
    <w:rsid w:val="7579833A"/>
    <w:rsid w:val="7590A5EE"/>
    <w:rsid w:val="75B3BDE3"/>
    <w:rsid w:val="75B41D89"/>
    <w:rsid w:val="75CCE605"/>
    <w:rsid w:val="75D326E1"/>
    <w:rsid w:val="75E3731D"/>
    <w:rsid w:val="75EDF6CC"/>
    <w:rsid w:val="75FD22BC"/>
    <w:rsid w:val="760AF8FC"/>
    <w:rsid w:val="761F4869"/>
    <w:rsid w:val="76221BB0"/>
    <w:rsid w:val="76325A68"/>
    <w:rsid w:val="763DB61C"/>
    <w:rsid w:val="764AA72D"/>
    <w:rsid w:val="764FED18"/>
    <w:rsid w:val="76603558"/>
    <w:rsid w:val="7681E59B"/>
    <w:rsid w:val="768F841E"/>
    <w:rsid w:val="7694EB7D"/>
    <w:rsid w:val="769ED3B0"/>
    <w:rsid w:val="76A460E7"/>
    <w:rsid w:val="76A5A0AD"/>
    <w:rsid w:val="76A6F9AA"/>
    <w:rsid w:val="76B8D65D"/>
    <w:rsid w:val="76C1E45C"/>
    <w:rsid w:val="76C4C34F"/>
    <w:rsid w:val="76CD7588"/>
    <w:rsid w:val="76D4D0E2"/>
    <w:rsid w:val="76D4D44D"/>
    <w:rsid w:val="76E08EF4"/>
    <w:rsid w:val="76E7D1C0"/>
    <w:rsid w:val="76FC36D1"/>
    <w:rsid w:val="7705F6E8"/>
    <w:rsid w:val="7735C49B"/>
    <w:rsid w:val="77935BFE"/>
    <w:rsid w:val="77B738E6"/>
    <w:rsid w:val="77BD4A01"/>
    <w:rsid w:val="77C7C642"/>
    <w:rsid w:val="77CAC299"/>
    <w:rsid w:val="77D6F9A0"/>
    <w:rsid w:val="780C314C"/>
    <w:rsid w:val="780EC5C2"/>
    <w:rsid w:val="78111DE7"/>
    <w:rsid w:val="78387693"/>
    <w:rsid w:val="783A833D"/>
    <w:rsid w:val="78465CEA"/>
    <w:rsid w:val="7849737B"/>
    <w:rsid w:val="78502089"/>
    <w:rsid w:val="78631192"/>
    <w:rsid w:val="78698998"/>
    <w:rsid w:val="788C2F97"/>
    <w:rsid w:val="78A815BA"/>
    <w:rsid w:val="78B2AB23"/>
    <w:rsid w:val="78B3062D"/>
    <w:rsid w:val="78C657F1"/>
    <w:rsid w:val="78EA907D"/>
    <w:rsid w:val="78FD0B57"/>
    <w:rsid w:val="791B04A4"/>
    <w:rsid w:val="792184D6"/>
    <w:rsid w:val="7936EE8D"/>
    <w:rsid w:val="793C0DF9"/>
    <w:rsid w:val="79412B8D"/>
    <w:rsid w:val="79517C53"/>
    <w:rsid w:val="79597F09"/>
    <w:rsid w:val="795CA637"/>
    <w:rsid w:val="7965BFB0"/>
    <w:rsid w:val="7968AB77"/>
    <w:rsid w:val="796EFFC8"/>
    <w:rsid w:val="79720F49"/>
    <w:rsid w:val="797630F5"/>
    <w:rsid w:val="798C89CC"/>
    <w:rsid w:val="7995A8F9"/>
    <w:rsid w:val="7997349B"/>
    <w:rsid w:val="7999C796"/>
    <w:rsid w:val="79AE5AA1"/>
    <w:rsid w:val="79D2A14F"/>
    <w:rsid w:val="79E5EC67"/>
    <w:rsid w:val="79F06C44"/>
    <w:rsid w:val="79FDE326"/>
    <w:rsid w:val="7A228E22"/>
    <w:rsid w:val="7A27D6F6"/>
    <w:rsid w:val="7A2AE356"/>
    <w:rsid w:val="7A4FE364"/>
    <w:rsid w:val="7A624198"/>
    <w:rsid w:val="7A65C96B"/>
    <w:rsid w:val="7A7809D7"/>
    <w:rsid w:val="7A85785E"/>
    <w:rsid w:val="7A85B5DC"/>
    <w:rsid w:val="7ABD00C6"/>
    <w:rsid w:val="7AC11E75"/>
    <w:rsid w:val="7AC3B0CC"/>
    <w:rsid w:val="7ACAACCB"/>
    <w:rsid w:val="7AD6E23B"/>
    <w:rsid w:val="7AE4372E"/>
    <w:rsid w:val="7AFD3BF5"/>
    <w:rsid w:val="7B08A7BB"/>
    <w:rsid w:val="7B0B8112"/>
    <w:rsid w:val="7B35A5DD"/>
    <w:rsid w:val="7B420944"/>
    <w:rsid w:val="7B48D6AC"/>
    <w:rsid w:val="7B52D8D3"/>
    <w:rsid w:val="7B5F0A4E"/>
    <w:rsid w:val="7B65014E"/>
    <w:rsid w:val="7B72CEE8"/>
    <w:rsid w:val="7B8B043D"/>
    <w:rsid w:val="7B8ED452"/>
    <w:rsid w:val="7BA5CBAB"/>
    <w:rsid w:val="7BA97843"/>
    <w:rsid w:val="7BD4D232"/>
    <w:rsid w:val="7BE01DA5"/>
    <w:rsid w:val="7BF0B3EA"/>
    <w:rsid w:val="7C018A5A"/>
    <w:rsid w:val="7C09C1A3"/>
    <w:rsid w:val="7C0A89EA"/>
    <w:rsid w:val="7C366611"/>
    <w:rsid w:val="7C397D09"/>
    <w:rsid w:val="7C39E74E"/>
    <w:rsid w:val="7C4B9164"/>
    <w:rsid w:val="7C5BC382"/>
    <w:rsid w:val="7C7F7093"/>
    <w:rsid w:val="7C810F6B"/>
    <w:rsid w:val="7C825759"/>
    <w:rsid w:val="7C8B4381"/>
    <w:rsid w:val="7C962FFC"/>
    <w:rsid w:val="7CCB0748"/>
    <w:rsid w:val="7CD506EB"/>
    <w:rsid w:val="7CD98078"/>
    <w:rsid w:val="7CDB0F4D"/>
    <w:rsid w:val="7CEC361D"/>
    <w:rsid w:val="7CF287E5"/>
    <w:rsid w:val="7D16F232"/>
    <w:rsid w:val="7D22AD90"/>
    <w:rsid w:val="7D65FF10"/>
    <w:rsid w:val="7D666A82"/>
    <w:rsid w:val="7D71620A"/>
    <w:rsid w:val="7D762767"/>
    <w:rsid w:val="7D863CA7"/>
    <w:rsid w:val="7D89FD87"/>
    <w:rsid w:val="7D9473D3"/>
    <w:rsid w:val="7DA282D9"/>
    <w:rsid w:val="7DB4EF8F"/>
    <w:rsid w:val="7DC17155"/>
    <w:rsid w:val="7DC877EC"/>
    <w:rsid w:val="7DE0174A"/>
    <w:rsid w:val="7DED6E15"/>
    <w:rsid w:val="7E07CA05"/>
    <w:rsid w:val="7E1F0792"/>
    <w:rsid w:val="7E26D6D3"/>
    <w:rsid w:val="7E3AE907"/>
    <w:rsid w:val="7E3F17E7"/>
    <w:rsid w:val="7E520BBB"/>
    <w:rsid w:val="7E5A6A58"/>
    <w:rsid w:val="7E7258B6"/>
    <w:rsid w:val="7E7DA3D4"/>
    <w:rsid w:val="7E9912EB"/>
    <w:rsid w:val="7E9B8A9E"/>
    <w:rsid w:val="7EAD18E8"/>
    <w:rsid w:val="7ED156F7"/>
    <w:rsid w:val="7EF303C6"/>
    <w:rsid w:val="7EFB930E"/>
    <w:rsid w:val="7EFF939F"/>
    <w:rsid w:val="7F08DEEE"/>
    <w:rsid w:val="7F0918A3"/>
    <w:rsid w:val="7F115A5B"/>
    <w:rsid w:val="7F1CBE2A"/>
    <w:rsid w:val="7F24D46A"/>
    <w:rsid w:val="7F27D44B"/>
    <w:rsid w:val="7F28786C"/>
    <w:rsid w:val="7F4FFE4B"/>
    <w:rsid w:val="7F585A9D"/>
    <w:rsid w:val="7F840CFC"/>
    <w:rsid w:val="7F891738"/>
    <w:rsid w:val="7F8D07B4"/>
    <w:rsid w:val="7F9EF4D1"/>
    <w:rsid w:val="7FA0F1FC"/>
    <w:rsid w:val="7FA2716B"/>
    <w:rsid w:val="7FA6D4C2"/>
    <w:rsid w:val="7FB53FD9"/>
    <w:rsid w:val="7FB8BEB3"/>
    <w:rsid w:val="7FEA02A8"/>
    <w:rsid w:val="7FF4D2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78E7E"/>
  <w15:chartTrackingRefBased/>
  <w15:docId w15:val="{5EE4E487-D6E7-47C5-8B72-AE2033587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669E"/>
    <w:pPr>
      <w:ind w:left="720"/>
      <w:contextualSpacing/>
    </w:pPr>
  </w:style>
  <w:style w:type="character" w:styleId="Hyperlink">
    <w:name w:val="Hyperlink"/>
    <w:basedOn w:val="DefaultParagraphFont"/>
    <w:uiPriority w:val="99"/>
    <w:unhideWhenUsed/>
    <w:rsid w:val="002A669E"/>
    <w:rPr>
      <w:color w:val="0000FF"/>
      <w:u w:val="single"/>
    </w:rPr>
  </w:style>
  <w:style w:type="character" w:styleId="UnresolvedMention">
    <w:name w:val="Unresolved Mention"/>
    <w:basedOn w:val="DefaultParagraphFont"/>
    <w:uiPriority w:val="99"/>
    <w:semiHidden/>
    <w:unhideWhenUsed/>
    <w:rsid w:val="009464D6"/>
    <w:rPr>
      <w:color w:val="605E5C"/>
      <w:shd w:val="clear" w:color="auto" w:fill="E1DFDD"/>
    </w:rPr>
  </w:style>
  <w:style w:type="paragraph" w:styleId="NormalWeb">
    <w:name w:val="Normal (Web)"/>
    <w:basedOn w:val="Normal"/>
    <w:uiPriority w:val="99"/>
    <w:unhideWhenUsed/>
    <w:rsid w:val="00BB7AD4"/>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E183E"/>
    <w:rPr>
      <w:sz w:val="16"/>
      <w:szCs w:val="16"/>
    </w:rPr>
  </w:style>
  <w:style w:type="paragraph" w:styleId="CommentText">
    <w:name w:val="annotation text"/>
    <w:basedOn w:val="Normal"/>
    <w:link w:val="CommentTextChar"/>
    <w:uiPriority w:val="99"/>
    <w:unhideWhenUsed/>
    <w:rsid w:val="001E183E"/>
    <w:pPr>
      <w:spacing w:line="240" w:lineRule="auto"/>
    </w:pPr>
    <w:rPr>
      <w:sz w:val="20"/>
      <w:szCs w:val="20"/>
    </w:rPr>
  </w:style>
  <w:style w:type="character" w:customStyle="1" w:styleId="CommentTextChar">
    <w:name w:val="Comment Text Char"/>
    <w:basedOn w:val="DefaultParagraphFont"/>
    <w:link w:val="CommentText"/>
    <w:uiPriority w:val="99"/>
    <w:rsid w:val="001E183E"/>
    <w:rPr>
      <w:sz w:val="20"/>
      <w:szCs w:val="20"/>
    </w:rPr>
  </w:style>
  <w:style w:type="paragraph" w:styleId="CommentSubject">
    <w:name w:val="annotation subject"/>
    <w:basedOn w:val="CommentText"/>
    <w:next w:val="CommentText"/>
    <w:link w:val="CommentSubjectChar"/>
    <w:uiPriority w:val="99"/>
    <w:semiHidden/>
    <w:unhideWhenUsed/>
    <w:rsid w:val="001E183E"/>
    <w:rPr>
      <w:b/>
      <w:bCs/>
    </w:rPr>
  </w:style>
  <w:style w:type="character" w:customStyle="1" w:styleId="CommentSubjectChar">
    <w:name w:val="Comment Subject Char"/>
    <w:basedOn w:val="CommentTextChar"/>
    <w:link w:val="CommentSubject"/>
    <w:uiPriority w:val="99"/>
    <w:semiHidden/>
    <w:rsid w:val="001E183E"/>
    <w:rPr>
      <w:b/>
      <w:bCs/>
      <w:sz w:val="20"/>
      <w:szCs w:val="20"/>
    </w:rPr>
  </w:style>
  <w:style w:type="paragraph" w:styleId="FootnoteText">
    <w:name w:val="footnote text"/>
    <w:basedOn w:val="Normal"/>
    <w:link w:val="FootnoteTextChar"/>
    <w:uiPriority w:val="99"/>
    <w:unhideWhenUsed/>
    <w:rsid w:val="000A62C5"/>
    <w:pPr>
      <w:spacing w:after="0" w:line="240" w:lineRule="auto"/>
    </w:pPr>
    <w:rPr>
      <w:sz w:val="20"/>
      <w:szCs w:val="20"/>
    </w:rPr>
  </w:style>
  <w:style w:type="character" w:customStyle="1" w:styleId="FootnoteTextChar">
    <w:name w:val="Footnote Text Char"/>
    <w:basedOn w:val="DefaultParagraphFont"/>
    <w:link w:val="FootnoteText"/>
    <w:uiPriority w:val="99"/>
    <w:rsid w:val="000A62C5"/>
    <w:rPr>
      <w:sz w:val="20"/>
      <w:szCs w:val="20"/>
    </w:rPr>
  </w:style>
  <w:style w:type="character" w:styleId="FootnoteReference">
    <w:name w:val="footnote reference"/>
    <w:basedOn w:val="DefaultParagraphFont"/>
    <w:uiPriority w:val="99"/>
    <w:unhideWhenUsed/>
    <w:rsid w:val="000A62C5"/>
    <w:rPr>
      <w:vertAlign w:val="superscript"/>
    </w:rPr>
  </w:style>
  <w:style w:type="paragraph" w:styleId="Header">
    <w:name w:val="header"/>
    <w:basedOn w:val="Normal"/>
    <w:link w:val="HeaderChar"/>
    <w:uiPriority w:val="99"/>
    <w:unhideWhenUsed/>
    <w:rsid w:val="001A28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28C1"/>
  </w:style>
  <w:style w:type="paragraph" w:styleId="Footer">
    <w:name w:val="footer"/>
    <w:basedOn w:val="Normal"/>
    <w:link w:val="FooterChar"/>
    <w:uiPriority w:val="99"/>
    <w:unhideWhenUsed/>
    <w:rsid w:val="001A28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28C1"/>
  </w:style>
  <w:style w:type="paragraph" w:styleId="Revision">
    <w:name w:val="Revision"/>
    <w:hidden/>
    <w:uiPriority w:val="99"/>
    <w:semiHidden/>
    <w:rsid w:val="00970729"/>
    <w:pPr>
      <w:spacing w:after="0" w:line="240" w:lineRule="auto"/>
    </w:pPr>
  </w:style>
  <w:style w:type="character" w:customStyle="1" w:styleId="normaltextrun">
    <w:name w:val="normaltextrun"/>
    <w:basedOn w:val="DefaultParagraphFont"/>
    <w:rsid w:val="00C818C8"/>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llowedHyperlink">
    <w:name w:val="FollowedHyperlink"/>
    <w:basedOn w:val="DefaultParagraphFont"/>
    <w:uiPriority w:val="99"/>
    <w:semiHidden/>
    <w:unhideWhenUsed/>
    <w:rsid w:val="00714CBD"/>
    <w:rPr>
      <w:color w:val="954F72" w:themeColor="followedHyperlink"/>
      <w:u w:val="single"/>
    </w:rPr>
  </w:style>
  <w:style w:type="character" w:customStyle="1" w:styleId="superscript">
    <w:name w:val="superscript"/>
    <w:basedOn w:val="DefaultParagraphFont"/>
    <w:rsid w:val="00CE70A8"/>
  </w:style>
  <w:style w:type="character" w:customStyle="1" w:styleId="eop">
    <w:name w:val="eop"/>
    <w:basedOn w:val="DefaultParagraphFont"/>
    <w:rsid w:val="00CE7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8060">
      <w:bodyDiv w:val="1"/>
      <w:marLeft w:val="0"/>
      <w:marRight w:val="0"/>
      <w:marTop w:val="0"/>
      <w:marBottom w:val="0"/>
      <w:divBdr>
        <w:top w:val="none" w:sz="0" w:space="0" w:color="auto"/>
        <w:left w:val="none" w:sz="0" w:space="0" w:color="auto"/>
        <w:bottom w:val="none" w:sz="0" w:space="0" w:color="auto"/>
        <w:right w:val="none" w:sz="0" w:space="0" w:color="auto"/>
      </w:divBdr>
    </w:div>
    <w:div w:id="180896175">
      <w:bodyDiv w:val="1"/>
      <w:marLeft w:val="0"/>
      <w:marRight w:val="0"/>
      <w:marTop w:val="0"/>
      <w:marBottom w:val="0"/>
      <w:divBdr>
        <w:top w:val="none" w:sz="0" w:space="0" w:color="auto"/>
        <w:left w:val="none" w:sz="0" w:space="0" w:color="auto"/>
        <w:bottom w:val="none" w:sz="0" w:space="0" w:color="auto"/>
        <w:right w:val="none" w:sz="0" w:space="0" w:color="auto"/>
      </w:divBdr>
    </w:div>
    <w:div w:id="374812568">
      <w:bodyDiv w:val="1"/>
      <w:marLeft w:val="0"/>
      <w:marRight w:val="0"/>
      <w:marTop w:val="0"/>
      <w:marBottom w:val="0"/>
      <w:divBdr>
        <w:top w:val="none" w:sz="0" w:space="0" w:color="auto"/>
        <w:left w:val="none" w:sz="0" w:space="0" w:color="auto"/>
        <w:bottom w:val="none" w:sz="0" w:space="0" w:color="auto"/>
        <w:right w:val="none" w:sz="0" w:space="0" w:color="auto"/>
      </w:divBdr>
    </w:div>
    <w:div w:id="392706117">
      <w:bodyDiv w:val="1"/>
      <w:marLeft w:val="0"/>
      <w:marRight w:val="0"/>
      <w:marTop w:val="0"/>
      <w:marBottom w:val="0"/>
      <w:divBdr>
        <w:top w:val="none" w:sz="0" w:space="0" w:color="auto"/>
        <w:left w:val="none" w:sz="0" w:space="0" w:color="auto"/>
        <w:bottom w:val="none" w:sz="0" w:space="0" w:color="auto"/>
        <w:right w:val="none" w:sz="0" w:space="0" w:color="auto"/>
      </w:divBdr>
    </w:div>
    <w:div w:id="610019494">
      <w:bodyDiv w:val="1"/>
      <w:marLeft w:val="0"/>
      <w:marRight w:val="0"/>
      <w:marTop w:val="0"/>
      <w:marBottom w:val="0"/>
      <w:divBdr>
        <w:top w:val="none" w:sz="0" w:space="0" w:color="auto"/>
        <w:left w:val="none" w:sz="0" w:space="0" w:color="auto"/>
        <w:bottom w:val="none" w:sz="0" w:space="0" w:color="auto"/>
        <w:right w:val="none" w:sz="0" w:space="0" w:color="auto"/>
      </w:divBdr>
    </w:div>
    <w:div w:id="628587825">
      <w:bodyDiv w:val="1"/>
      <w:marLeft w:val="0"/>
      <w:marRight w:val="0"/>
      <w:marTop w:val="0"/>
      <w:marBottom w:val="0"/>
      <w:divBdr>
        <w:top w:val="none" w:sz="0" w:space="0" w:color="auto"/>
        <w:left w:val="none" w:sz="0" w:space="0" w:color="auto"/>
        <w:bottom w:val="none" w:sz="0" w:space="0" w:color="auto"/>
        <w:right w:val="none" w:sz="0" w:space="0" w:color="auto"/>
      </w:divBdr>
    </w:div>
    <w:div w:id="663826229">
      <w:bodyDiv w:val="1"/>
      <w:marLeft w:val="0"/>
      <w:marRight w:val="0"/>
      <w:marTop w:val="0"/>
      <w:marBottom w:val="0"/>
      <w:divBdr>
        <w:top w:val="none" w:sz="0" w:space="0" w:color="auto"/>
        <w:left w:val="none" w:sz="0" w:space="0" w:color="auto"/>
        <w:bottom w:val="none" w:sz="0" w:space="0" w:color="auto"/>
        <w:right w:val="none" w:sz="0" w:space="0" w:color="auto"/>
      </w:divBdr>
    </w:div>
    <w:div w:id="963273683">
      <w:bodyDiv w:val="1"/>
      <w:marLeft w:val="0"/>
      <w:marRight w:val="0"/>
      <w:marTop w:val="0"/>
      <w:marBottom w:val="0"/>
      <w:divBdr>
        <w:top w:val="none" w:sz="0" w:space="0" w:color="auto"/>
        <w:left w:val="none" w:sz="0" w:space="0" w:color="auto"/>
        <w:bottom w:val="none" w:sz="0" w:space="0" w:color="auto"/>
        <w:right w:val="none" w:sz="0" w:space="0" w:color="auto"/>
      </w:divBdr>
    </w:div>
    <w:div w:id="1247491952">
      <w:bodyDiv w:val="1"/>
      <w:marLeft w:val="0"/>
      <w:marRight w:val="0"/>
      <w:marTop w:val="0"/>
      <w:marBottom w:val="0"/>
      <w:divBdr>
        <w:top w:val="none" w:sz="0" w:space="0" w:color="auto"/>
        <w:left w:val="none" w:sz="0" w:space="0" w:color="auto"/>
        <w:bottom w:val="none" w:sz="0" w:space="0" w:color="auto"/>
        <w:right w:val="none" w:sz="0" w:space="0" w:color="auto"/>
      </w:divBdr>
    </w:div>
    <w:div w:id="1438407084">
      <w:bodyDiv w:val="1"/>
      <w:marLeft w:val="0"/>
      <w:marRight w:val="0"/>
      <w:marTop w:val="0"/>
      <w:marBottom w:val="0"/>
      <w:divBdr>
        <w:top w:val="none" w:sz="0" w:space="0" w:color="auto"/>
        <w:left w:val="none" w:sz="0" w:space="0" w:color="auto"/>
        <w:bottom w:val="none" w:sz="0" w:space="0" w:color="auto"/>
        <w:right w:val="none" w:sz="0" w:space="0" w:color="auto"/>
      </w:divBdr>
    </w:div>
    <w:div w:id="1565945403">
      <w:bodyDiv w:val="1"/>
      <w:marLeft w:val="0"/>
      <w:marRight w:val="0"/>
      <w:marTop w:val="0"/>
      <w:marBottom w:val="0"/>
      <w:divBdr>
        <w:top w:val="none" w:sz="0" w:space="0" w:color="auto"/>
        <w:left w:val="none" w:sz="0" w:space="0" w:color="auto"/>
        <w:bottom w:val="none" w:sz="0" w:space="0" w:color="auto"/>
        <w:right w:val="none" w:sz="0" w:space="0" w:color="auto"/>
      </w:divBdr>
      <w:divsChild>
        <w:div w:id="1006127315">
          <w:marLeft w:val="0"/>
          <w:marRight w:val="0"/>
          <w:marTop w:val="0"/>
          <w:marBottom w:val="0"/>
          <w:divBdr>
            <w:top w:val="none" w:sz="0" w:space="0" w:color="auto"/>
            <w:left w:val="none" w:sz="0" w:space="0" w:color="auto"/>
            <w:bottom w:val="none" w:sz="0" w:space="0" w:color="auto"/>
            <w:right w:val="none" w:sz="0" w:space="0" w:color="auto"/>
          </w:divBdr>
          <w:divsChild>
            <w:div w:id="14962408">
              <w:marLeft w:val="0"/>
              <w:marRight w:val="0"/>
              <w:marTop w:val="0"/>
              <w:marBottom w:val="0"/>
              <w:divBdr>
                <w:top w:val="none" w:sz="0" w:space="0" w:color="auto"/>
                <w:left w:val="none" w:sz="0" w:space="0" w:color="auto"/>
                <w:bottom w:val="none" w:sz="0" w:space="0" w:color="auto"/>
                <w:right w:val="none" w:sz="0" w:space="0" w:color="auto"/>
              </w:divBdr>
              <w:divsChild>
                <w:div w:id="1877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229106">
      <w:bodyDiv w:val="1"/>
      <w:marLeft w:val="0"/>
      <w:marRight w:val="0"/>
      <w:marTop w:val="0"/>
      <w:marBottom w:val="0"/>
      <w:divBdr>
        <w:top w:val="none" w:sz="0" w:space="0" w:color="auto"/>
        <w:left w:val="none" w:sz="0" w:space="0" w:color="auto"/>
        <w:bottom w:val="none" w:sz="0" w:space="0" w:color="auto"/>
        <w:right w:val="none" w:sz="0" w:space="0" w:color="auto"/>
      </w:divBdr>
    </w:div>
    <w:div w:id="189419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s://www.potomaceconomics.com/wp-content/uploads/2022/05/2021-State-of-the-Market-Report.pdf" TargetMode="External"/><Relationship Id="rId13" Type="http://schemas.openxmlformats.org/officeDocument/2006/relationships/hyperlink" Target="https://www.brattle.com/wp-content/uploads/2017/10/7641_estimating_the_economically_optimal_reserve_margin_in_ercot.pdf" TargetMode="External"/><Relationship Id="rId3" Type="http://schemas.openxmlformats.org/officeDocument/2006/relationships/hyperlink" Target="%20https://www.ercot.com/files/docs/2022/11/29/SARA_Winter2022-23.pdf" TargetMode="External"/><Relationship Id="rId7" Type="http://schemas.openxmlformats.org/officeDocument/2006/relationships/hyperlink" Target="https://www.pjm.com/-/media/library/reports-notices/special-reports/2022/20220517-energy-transition-in-pjm-emerging-characteristics-of-a-decarbonizing-grid-white-paper-final.ashx" TargetMode="External"/><Relationship Id="rId12" Type="http://schemas.openxmlformats.org/officeDocument/2006/relationships/hyperlink" Target="https://www.icf.com/insights/energy/winter-storms-ercot-grid" TargetMode="External"/><Relationship Id="rId2" Type="http://schemas.openxmlformats.org/officeDocument/2006/relationships/hyperlink" Target="https://www.nerc.com/pa/RAPA/ra/Reliability%20Assessments%20DL/NERC_WRA_2022.pdf" TargetMode="External"/><Relationship Id="rId1" Type="http://schemas.openxmlformats.org/officeDocument/2006/relationships/hyperlink" Target="https://www.kcbd.com/2022/11/29/live-officials-discuss-ercot-winter-power-grid-preparations/" TargetMode="External"/><Relationship Id="rId6" Type="http://schemas.openxmlformats.org/officeDocument/2006/relationships/hyperlink" Target="https://www.pjm.com/-/media/library/reports-notices/special-reports/2021/20211215-energy-transition-in-pjm-frameworks-for-analysis.ashx" TargetMode="External"/><Relationship Id="rId11" Type="http://schemas.openxmlformats.org/officeDocument/2006/relationships/hyperlink" Target="https://spp.org/Documents/68194/sawg%20agenda%20&amp;%20background%20materials%2020221109-10.zip" TargetMode="External"/><Relationship Id="rId5" Type="http://schemas.openxmlformats.org/officeDocument/2006/relationships/hyperlink" Target="https://www.iso-ne.com/static-assets/documents/regulatory/tariff/sect_3/mr1_sec_13_14.pdf" TargetMode="External"/><Relationship Id="rId10" Type="http://schemas.openxmlformats.org/officeDocument/2006/relationships/hyperlink" Target="https://interchange.puc.texas.gov/search/documents/?controlNumber=54335&amp;itemNumber=105" TargetMode="External"/><Relationship Id="rId4" Type="http://schemas.openxmlformats.org/officeDocument/2006/relationships/hyperlink" Target="https://interchange.puc.texas.gov/Documents/52373_255_1168764.PDF" TargetMode="External"/><Relationship Id="rId9" Type="http://schemas.openxmlformats.org/officeDocument/2006/relationships/hyperlink" Target="https://legiscan.com/TX/bill/SB3/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46060FAA8EC043BA0B306C813E71C5" ma:contentTypeVersion="12" ma:contentTypeDescription="Create a new document." ma:contentTypeScope="" ma:versionID="146369c9b64958e698e2f5e5b32968d7">
  <xsd:schema xmlns:xsd="http://www.w3.org/2001/XMLSchema" xmlns:xs="http://www.w3.org/2001/XMLSchema" xmlns:p="http://schemas.microsoft.com/office/2006/metadata/properties" xmlns:ns2="be668046-4d65-4386-9c06-2cb15f350840" xmlns:ns3="65d73ab2-7800-40fb-9e3a-f7327f5029b2" targetNamespace="http://schemas.microsoft.com/office/2006/metadata/properties" ma:root="true" ma:fieldsID="3f9094bba36cad8c6db74e5e55eb4ba8" ns2:_="" ns3:_="">
    <xsd:import namespace="be668046-4d65-4386-9c06-2cb15f350840"/>
    <xsd:import namespace="65d73ab2-7800-40fb-9e3a-f7327f5029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68046-4d65-4386-9c06-2cb15f350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d73ab2-7800-40fb-9e3a-f7327f5029b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5d73ab2-7800-40fb-9e3a-f7327f5029b2">
      <UserInfo>
        <DisplayName>Frank Swigonski</DisplayName>
        <AccountId>126</AccountId>
        <AccountType/>
      </UserInfo>
      <UserInfo>
        <DisplayName>Regan Fink</DisplayName>
        <AccountId>58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D622A-BBB7-493E-A438-97A4F0CEEDD0}">
  <ds:schemaRefs>
    <ds:schemaRef ds:uri="http://schemas.microsoft.com/sharepoint/v3/contenttype/forms"/>
  </ds:schemaRefs>
</ds:datastoreItem>
</file>

<file path=customXml/itemProps2.xml><?xml version="1.0" encoding="utf-8"?>
<ds:datastoreItem xmlns:ds="http://schemas.openxmlformats.org/officeDocument/2006/customXml" ds:itemID="{2738DD4D-3841-4043-B613-04190633C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68046-4d65-4386-9c06-2cb15f350840"/>
    <ds:schemaRef ds:uri="65d73ab2-7800-40fb-9e3a-f7327f5029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6088A-E077-48C9-B0D0-D57AAF4877A6}">
  <ds:schemaRefs>
    <ds:schemaRef ds:uri="http://schemas.microsoft.com/office/2006/metadata/properties"/>
    <ds:schemaRef ds:uri="http://schemas.microsoft.com/office/infopath/2007/PartnerControls"/>
    <ds:schemaRef ds:uri="65d73ab2-7800-40fb-9e3a-f7327f5029b2"/>
  </ds:schemaRefs>
</ds:datastoreItem>
</file>

<file path=customXml/itemProps4.xml><?xml version="1.0" encoding="utf-8"?>
<ds:datastoreItem xmlns:ds="http://schemas.openxmlformats.org/officeDocument/2006/customXml" ds:itemID="{44A5F5D9-4438-45E9-BC6F-19F6D3203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1739</TotalTime>
  <Pages>1</Pages>
  <Words>4475</Words>
  <Characters>25508</Characters>
  <Application>Microsoft Office Word</Application>
  <DocSecurity>4</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Pine Gate Renewables LLC</Company>
  <LinksUpToDate>false</LinksUpToDate>
  <CharactersWithSpaces>29924</CharactersWithSpaces>
  <SharedDoc>false</SharedDoc>
  <HLinks>
    <vt:vector size="78" baseType="variant">
      <vt:variant>
        <vt:i4>5636167</vt:i4>
      </vt:variant>
      <vt:variant>
        <vt:i4>36</vt:i4>
      </vt:variant>
      <vt:variant>
        <vt:i4>0</vt:i4>
      </vt:variant>
      <vt:variant>
        <vt:i4>5</vt:i4>
      </vt:variant>
      <vt:variant>
        <vt:lpwstr>https://www.brattle.com/wp-content/uploads/2017/10/7641_estimating_the_economically_optimal_reserve_margin_in_ercot.pdf</vt:lpwstr>
      </vt:variant>
      <vt:variant>
        <vt:lpwstr/>
      </vt:variant>
      <vt:variant>
        <vt:i4>262234</vt:i4>
      </vt:variant>
      <vt:variant>
        <vt:i4>33</vt:i4>
      </vt:variant>
      <vt:variant>
        <vt:i4>0</vt:i4>
      </vt:variant>
      <vt:variant>
        <vt:i4>5</vt:i4>
      </vt:variant>
      <vt:variant>
        <vt:lpwstr>https://www.icf.com/insights/energy/winter-storms-ercot-grid</vt:lpwstr>
      </vt:variant>
      <vt:variant>
        <vt:lpwstr/>
      </vt:variant>
      <vt:variant>
        <vt:i4>7864447</vt:i4>
      </vt:variant>
      <vt:variant>
        <vt:i4>30</vt:i4>
      </vt:variant>
      <vt:variant>
        <vt:i4>0</vt:i4>
      </vt:variant>
      <vt:variant>
        <vt:i4>5</vt:i4>
      </vt:variant>
      <vt:variant>
        <vt:lpwstr>https://spp.org/Documents/68194/sawg agenda &amp; background materials 20221109-10.zip</vt:lpwstr>
      </vt:variant>
      <vt:variant>
        <vt:lpwstr/>
      </vt:variant>
      <vt:variant>
        <vt:i4>2162793</vt:i4>
      </vt:variant>
      <vt:variant>
        <vt:i4>27</vt:i4>
      </vt:variant>
      <vt:variant>
        <vt:i4>0</vt:i4>
      </vt:variant>
      <vt:variant>
        <vt:i4>5</vt:i4>
      </vt:variant>
      <vt:variant>
        <vt:lpwstr>https://interchange.puc.texas.gov/search/documents/?controlNumber=54335&amp;itemNumber=105</vt:lpwstr>
      </vt:variant>
      <vt:variant>
        <vt:lpwstr/>
      </vt:variant>
      <vt:variant>
        <vt:i4>19</vt:i4>
      </vt:variant>
      <vt:variant>
        <vt:i4>24</vt:i4>
      </vt:variant>
      <vt:variant>
        <vt:i4>0</vt:i4>
      </vt:variant>
      <vt:variant>
        <vt:i4>5</vt:i4>
      </vt:variant>
      <vt:variant>
        <vt:lpwstr>https://legiscan.com/TX/bill/SB3/2021</vt:lpwstr>
      </vt:variant>
      <vt:variant>
        <vt:lpwstr/>
      </vt:variant>
      <vt:variant>
        <vt:i4>2359412</vt:i4>
      </vt:variant>
      <vt:variant>
        <vt:i4>21</vt:i4>
      </vt:variant>
      <vt:variant>
        <vt:i4>0</vt:i4>
      </vt:variant>
      <vt:variant>
        <vt:i4>5</vt:i4>
      </vt:variant>
      <vt:variant>
        <vt:lpwstr>https://www.potomaceconomics.com/wp-content/uploads/2022/05/2021-State-of-the-Market-Report.pdf</vt:lpwstr>
      </vt:variant>
      <vt:variant>
        <vt:lpwstr/>
      </vt:variant>
      <vt:variant>
        <vt:i4>7864380</vt:i4>
      </vt:variant>
      <vt:variant>
        <vt:i4>18</vt:i4>
      </vt:variant>
      <vt:variant>
        <vt:i4>0</vt:i4>
      </vt:variant>
      <vt:variant>
        <vt:i4>5</vt:i4>
      </vt:variant>
      <vt:variant>
        <vt:lpwstr>https://www.pjm.com/-/media/library/reports-notices/special-reports/2022/20220517-energy-transition-in-pjm-emerging-characteristics-of-a-decarbonizing-grid-white-paper-final.ashx</vt:lpwstr>
      </vt:variant>
      <vt:variant>
        <vt:lpwstr/>
      </vt:variant>
      <vt:variant>
        <vt:i4>8323131</vt:i4>
      </vt:variant>
      <vt:variant>
        <vt:i4>15</vt:i4>
      </vt:variant>
      <vt:variant>
        <vt:i4>0</vt:i4>
      </vt:variant>
      <vt:variant>
        <vt:i4>5</vt:i4>
      </vt:variant>
      <vt:variant>
        <vt:lpwstr>https://www.pjm.com/-/media/library/reports-notices/special-reports/2021/20211215-energy-transition-in-pjm-frameworks-for-analysis.ashx</vt:lpwstr>
      </vt:variant>
      <vt:variant>
        <vt:lpwstr/>
      </vt:variant>
      <vt:variant>
        <vt:i4>3670052</vt:i4>
      </vt:variant>
      <vt:variant>
        <vt:i4>12</vt:i4>
      </vt:variant>
      <vt:variant>
        <vt:i4>0</vt:i4>
      </vt:variant>
      <vt:variant>
        <vt:i4>5</vt:i4>
      </vt:variant>
      <vt:variant>
        <vt:lpwstr>https://www.iso-ne.com/static-assets/documents/regulatory/tariff/sect_3/mr1_sec_13_14.pdf</vt:lpwstr>
      </vt:variant>
      <vt:variant>
        <vt:lpwstr/>
      </vt:variant>
      <vt:variant>
        <vt:i4>65536</vt:i4>
      </vt:variant>
      <vt:variant>
        <vt:i4>9</vt:i4>
      </vt:variant>
      <vt:variant>
        <vt:i4>0</vt:i4>
      </vt:variant>
      <vt:variant>
        <vt:i4>5</vt:i4>
      </vt:variant>
      <vt:variant>
        <vt:lpwstr>https://interchange.puc.texas.gov/Documents/52373_255_1168764.PDF</vt:lpwstr>
      </vt:variant>
      <vt:variant>
        <vt:lpwstr/>
      </vt:variant>
      <vt:variant>
        <vt:i4>7536643</vt:i4>
      </vt:variant>
      <vt:variant>
        <vt:i4>6</vt:i4>
      </vt:variant>
      <vt:variant>
        <vt:i4>0</vt:i4>
      </vt:variant>
      <vt:variant>
        <vt:i4>5</vt:i4>
      </vt:variant>
      <vt:variant>
        <vt:lpwstr>https://www.ercot.com/files/docs/2022/11/29/SARA_Winter2022-23.pdf</vt:lpwstr>
      </vt:variant>
      <vt:variant>
        <vt:lpwstr/>
      </vt:variant>
      <vt:variant>
        <vt:i4>5636121</vt:i4>
      </vt:variant>
      <vt:variant>
        <vt:i4>3</vt:i4>
      </vt:variant>
      <vt:variant>
        <vt:i4>0</vt:i4>
      </vt:variant>
      <vt:variant>
        <vt:i4>5</vt:i4>
      </vt:variant>
      <vt:variant>
        <vt:lpwstr>https://www.nerc.com/pa/RAPA/ra/Reliability Assessments DL/NERC_WRA_2022.pdf</vt:lpwstr>
      </vt:variant>
      <vt:variant>
        <vt:lpwstr/>
      </vt:variant>
      <vt:variant>
        <vt:i4>524375</vt:i4>
      </vt:variant>
      <vt:variant>
        <vt:i4>0</vt:i4>
      </vt:variant>
      <vt:variant>
        <vt:i4>0</vt:i4>
      </vt:variant>
      <vt:variant>
        <vt:i4>5</vt:i4>
      </vt:variant>
      <vt:variant>
        <vt:lpwstr>https://www.kcbd.com/2022/11/29/live-officials-discuss-ercot-winter-power-grid-preparations/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Brigid Clifford</dc:creator>
  <cp:keywords/>
  <dc:description/>
  <cp:lastModifiedBy>Frank Swigonski</cp:lastModifiedBy>
  <cp:revision>1536</cp:revision>
  <dcterms:created xsi:type="dcterms:W3CDTF">2022-12-12T22:08:00Z</dcterms:created>
  <dcterms:modified xsi:type="dcterms:W3CDTF">2022-12-15T23:28:00Z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0x0101000C46060FAA8EC043BA0B306C813E71C5</vt:lpwstr>
  </property>
</Properties>
</file>